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2A032" w14:textId="77777777" w:rsidR="00DE486D" w:rsidRDefault="00DE486D" w:rsidP="00FD58DA">
      <w:pPr>
        <w:jc w:val="both"/>
      </w:pPr>
      <w:r w:rsidRPr="00DE486D">
        <w:rPr>
          <w:b/>
        </w:rPr>
        <w:t>Title:</w:t>
      </w:r>
    </w:p>
    <w:p w14:paraId="70D46449" w14:textId="42885576" w:rsidR="000A0B50" w:rsidRDefault="00F542B5" w:rsidP="00133665">
      <w:pPr>
        <w:jc w:val="both"/>
      </w:pPr>
      <w:r>
        <w:t xml:space="preserve">A </w:t>
      </w:r>
      <w:r w:rsidR="00DE486D">
        <w:t>novel</w:t>
      </w:r>
      <w:r>
        <w:t xml:space="preserve"> approach to pain </w:t>
      </w:r>
      <w:r w:rsidR="00DE486D">
        <w:t xml:space="preserve">control </w:t>
      </w:r>
      <w:r>
        <w:t xml:space="preserve">after total knee replacement: </w:t>
      </w:r>
      <w:r w:rsidR="00DE486D">
        <w:t xml:space="preserve">an </w:t>
      </w:r>
      <w:r>
        <w:t>evaluation of the s</w:t>
      </w:r>
      <w:r w:rsidR="005B4DF2">
        <w:t xml:space="preserve">ublingual </w:t>
      </w:r>
      <w:proofErr w:type="spellStart"/>
      <w:r w:rsidR="005B4DF2">
        <w:t>sufentanil</w:t>
      </w:r>
      <w:proofErr w:type="spellEnd"/>
      <w:r w:rsidR="005B4DF2">
        <w:t xml:space="preserve"> p</w:t>
      </w:r>
      <w:r w:rsidR="000A0B50">
        <w:t xml:space="preserve">atient controlled </w:t>
      </w:r>
      <w:r>
        <w:t>analgesia device.</w:t>
      </w:r>
    </w:p>
    <w:p w14:paraId="1F182DB9" w14:textId="77777777" w:rsidR="005B4DF2" w:rsidRDefault="005B4DF2" w:rsidP="00133665">
      <w:pPr>
        <w:jc w:val="both"/>
      </w:pPr>
    </w:p>
    <w:p w14:paraId="7D9EC694" w14:textId="77777777" w:rsidR="000A0B50" w:rsidRDefault="000A0B50" w:rsidP="00133665">
      <w:pPr>
        <w:jc w:val="both"/>
      </w:pPr>
      <w:r>
        <w:t xml:space="preserve">Vanessa Nesbitt, Consultant </w:t>
      </w:r>
      <w:proofErr w:type="spellStart"/>
      <w:r>
        <w:t>Anaesthetist</w:t>
      </w:r>
      <w:proofErr w:type="spellEnd"/>
    </w:p>
    <w:p w14:paraId="4F351AB2" w14:textId="00AC967D" w:rsidR="000A0B50" w:rsidRDefault="000A0B50" w:rsidP="00133665">
      <w:pPr>
        <w:jc w:val="both"/>
      </w:pPr>
      <w:r>
        <w:t xml:space="preserve">Julie Oz, </w:t>
      </w:r>
      <w:r w:rsidR="00DE486D">
        <w:t>Inpatient Pain Nurse Specialist</w:t>
      </w:r>
    </w:p>
    <w:p w14:paraId="434DED1D" w14:textId="77777777" w:rsidR="000A0B50" w:rsidRDefault="000A0B50" w:rsidP="00133665">
      <w:pPr>
        <w:jc w:val="both"/>
      </w:pPr>
    </w:p>
    <w:p w14:paraId="1F8E5232" w14:textId="03436BA9" w:rsidR="000A0B50" w:rsidRPr="00DE486D" w:rsidRDefault="000A0B50" w:rsidP="00133665">
      <w:pPr>
        <w:jc w:val="both"/>
        <w:rPr>
          <w:b/>
        </w:rPr>
      </w:pPr>
      <w:r w:rsidRPr="00DE486D">
        <w:rPr>
          <w:b/>
        </w:rPr>
        <w:t>Background</w:t>
      </w:r>
      <w:r w:rsidR="00DE486D">
        <w:rPr>
          <w:b/>
        </w:rPr>
        <w:t>:</w:t>
      </w:r>
    </w:p>
    <w:p w14:paraId="31F407C8" w14:textId="4476DEE2" w:rsidR="000A0B50" w:rsidRDefault="000A0B50" w:rsidP="00133665">
      <w:pPr>
        <w:jc w:val="both"/>
      </w:pPr>
      <w:r>
        <w:t>A trust au</w:t>
      </w:r>
      <w:r w:rsidR="00FD58DA">
        <w:t>dit of post-operative pain following</w:t>
      </w:r>
      <w:r w:rsidR="0069640A">
        <w:t xml:space="preserve"> total knee replacement </w:t>
      </w:r>
      <w:r w:rsidR="00EB1876">
        <w:t xml:space="preserve">(TKR) </w:t>
      </w:r>
      <w:r w:rsidR="00FB43A1">
        <w:t>revealed the first 12 hour</w:t>
      </w:r>
      <w:r>
        <w:t xml:space="preserve">s </w:t>
      </w:r>
      <w:r w:rsidR="00FB43A1">
        <w:t xml:space="preserve">after surgery are </w:t>
      </w:r>
      <w:r>
        <w:t xml:space="preserve">generally pain free due to spinal and regional </w:t>
      </w:r>
      <w:proofErr w:type="spellStart"/>
      <w:r>
        <w:t>anaesthesia</w:t>
      </w:r>
      <w:proofErr w:type="spellEnd"/>
      <w:r w:rsidR="007B71E1">
        <w:t xml:space="preserve">. </w:t>
      </w:r>
      <w:r w:rsidR="004D326D">
        <w:t xml:space="preserve">However, </w:t>
      </w:r>
      <w:r w:rsidR="00FB43A1">
        <w:t xml:space="preserve">65% of patients experience </w:t>
      </w:r>
      <w:r w:rsidR="007B71E1">
        <w:t>‘</w:t>
      </w:r>
      <w:r w:rsidR="00FB43A1">
        <w:t>severe</w:t>
      </w:r>
      <w:r w:rsidR="007B71E1">
        <w:t>’</w:t>
      </w:r>
      <w:r w:rsidR="00FB43A1">
        <w:t xml:space="preserve"> pain on</w:t>
      </w:r>
      <w:r w:rsidR="007B71E1">
        <w:t xml:space="preserve"> their first post-operative day despite current</w:t>
      </w:r>
      <w:r w:rsidR="00FB43A1">
        <w:t xml:space="preserve"> </w:t>
      </w:r>
      <w:r w:rsidR="0069640A">
        <w:t xml:space="preserve">standard treatment </w:t>
      </w:r>
      <w:r w:rsidR="007B71E1">
        <w:t>(</w:t>
      </w:r>
      <w:r>
        <w:t xml:space="preserve">regular </w:t>
      </w:r>
      <w:proofErr w:type="spellStart"/>
      <w:r>
        <w:t>paracetamol</w:t>
      </w:r>
      <w:proofErr w:type="spellEnd"/>
      <w:r>
        <w:t>, non-</w:t>
      </w:r>
      <w:r w:rsidR="00FD58DA">
        <w:t>steroidal</w:t>
      </w:r>
      <w:r>
        <w:t xml:space="preserve"> anti-inflam</w:t>
      </w:r>
      <w:r w:rsidR="00FB43A1">
        <w:t>m</w:t>
      </w:r>
      <w:r w:rsidR="00F318A6">
        <w:t>atories, oxycodone</w:t>
      </w:r>
      <w:r>
        <w:t xml:space="preserve"> and gabapentin</w:t>
      </w:r>
      <w:r w:rsidR="007B71E1">
        <w:t>).</w:t>
      </w:r>
    </w:p>
    <w:p w14:paraId="2BEC7314" w14:textId="116A3965" w:rsidR="00FB43A1" w:rsidRDefault="000A0B50" w:rsidP="00133665">
      <w:pPr>
        <w:jc w:val="both"/>
        <w:rPr>
          <w:lang w:val="en-GB"/>
        </w:rPr>
      </w:pPr>
      <w:r w:rsidRPr="000A0B50">
        <w:rPr>
          <w:lang w:val="en-GB"/>
        </w:rPr>
        <w:t>The use</w:t>
      </w:r>
      <w:r>
        <w:rPr>
          <w:lang w:val="en-GB"/>
        </w:rPr>
        <w:t xml:space="preserve"> of oral opioids is increasing</w:t>
      </w:r>
      <w:r w:rsidR="0069640A">
        <w:rPr>
          <w:lang w:val="en-GB"/>
        </w:rPr>
        <w:t>,</w:t>
      </w:r>
      <w:r>
        <w:rPr>
          <w:lang w:val="en-GB"/>
        </w:rPr>
        <w:t xml:space="preserve"> as they encourage</w:t>
      </w:r>
      <w:r w:rsidRPr="000A0B50">
        <w:rPr>
          <w:lang w:val="en-GB"/>
        </w:rPr>
        <w:t xml:space="preserve"> mobility and compl</w:t>
      </w:r>
      <w:r>
        <w:rPr>
          <w:lang w:val="en-GB"/>
        </w:rPr>
        <w:t xml:space="preserve">iance with </w:t>
      </w:r>
      <w:r w:rsidR="0069640A">
        <w:rPr>
          <w:lang w:val="en-GB"/>
        </w:rPr>
        <w:t>physiotherapy goals compared to</w:t>
      </w:r>
      <w:r w:rsidR="00EA4085">
        <w:rPr>
          <w:lang w:val="en-GB"/>
        </w:rPr>
        <w:t xml:space="preserve"> </w:t>
      </w:r>
      <w:r>
        <w:rPr>
          <w:lang w:val="en-GB"/>
        </w:rPr>
        <w:t xml:space="preserve">intravenous </w:t>
      </w:r>
      <w:r w:rsidR="00EA4085">
        <w:rPr>
          <w:lang w:val="en-GB"/>
        </w:rPr>
        <w:t>patient controlled analgesia (PCA)</w:t>
      </w:r>
      <w:r>
        <w:rPr>
          <w:lang w:val="en-GB"/>
        </w:rPr>
        <w:t>.</w:t>
      </w:r>
      <w:r w:rsidR="00FB43A1">
        <w:rPr>
          <w:lang w:val="en-GB"/>
        </w:rPr>
        <w:t xml:space="preserve"> However</w:t>
      </w:r>
      <w:r w:rsidR="0069640A">
        <w:rPr>
          <w:lang w:val="en-GB"/>
        </w:rPr>
        <w:t>,</w:t>
      </w:r>
      <w:r w:rsidR="00FB43A1">
        <w:rPr>
          <w:lang w:val="en-GB"/>
        </w:rPr>
        <w:t xml:space="preserve"> one</w:t>
      </w:r>
      <w:r w:rsidRPr="000A0B50">
        <w:rPr>
          <w:lang w:val="en-GB"/>
        </w:rPr>
        <w:t xml:space="preserve"> disadvantage of oral opioids is the nursing time required to administer controlled drugs, especially if </w:t>
      </w:r>
      <w:r w:rsidR="00FB43A1">
        <w:rPr>
          <w:lang w:val="en-GB"/>
        </w:rPr>
        <w:t>multiple breakthrough doses are required.</w:t>
      </w:r>
      <w:bookmarkStart w:id="0" w:name="_GoBack"/>
      <w:bookmarkEnd w:id="0"/>
    </w:p>
    <w:p w14:paraId="1C282C10" w14:textId="66041A85" w:rsidR="000A0B50" w:rsidRPr="00B50A99" w:rsidRDefault="000A0B50" w:rsidP="00133665">
      <w:pPr>
        <w:jc w:val="both"/>
        <w:rPr>
          <w:lang w:val="en-GB"/>
        </w:rPr>
      </w:pPr>
      <w:r>
        <w:t xml:space="preserve">We undertook an evaluation of </w:t>
      </w:r>
      <w:r w:rsidR="00FB43A1">
        <w:t>a</w:t>
      </w:r>
      <w:r>
        <w:t xml:space="preserve"> </w:t>
      </w:r>
      <w:r w:rsidR="00877FCC">
        <w:t xml:space="preserve">sublingual </w:t>
      </w:r>
      <w:proofErr w:type="spellStart"/>
      <w:r>
        <w:t>sufen</w:t>
      </w:r>
      <w:r w:rsidR="0069640A">
        <w:t>tan</w:t>
      </w:r>
      <w:r>
        <w:t>il</w:t>
      </w:r>
      <w:proofErr w:type="spellEnd"/>
      <w:r>
        <w:t xml:space="preserve"> </w:t>
      </w:r>
      <w:r w:rsidR="00877FCC">
        <w:t>PCA system</w:t>
      </w:r>
      <w:r>
        <w:t xml:space="preserve"> </w:t>
      </w:r>
      <w:r w:rsidR="004C2C6B">
        <w:t xml:space="preserve">(SS-PCA) </w:t>
      </w:r>
      <w:r>
        <w:t xml:space="preserve">in </w:t>
      </w:r>
      <w:r w:rsidR="00877FCC">
        <w:t xml:space="preserve">our </w:t>
      </w:r>
      <w:r w:rsidR="00FB43A1">
        <w:t xml:space="preserve">patients undergoing </w:t>
      </w:r>
      <w:r w:rsidR="00EB1876">
        <w:t>TKR</w:t>
      </w:r>
      <w:r>
        <w:t>.</w:t>
      </w:r>
      <w:r w:rsidR="007B71E1">
        <w:t xml:space="preserve"> </w:t>
      </w:r>
      <w:r w:rsidR="00B50A99">
        <w:rPr>
          <w:lang w:val="en-GB"/>
        </w:rPr>
        <w:t xml:space="preserve">A 15 microgram </w:t>
      </w:r>
      <w:proofErr w:type="spellStart"/>
      <w:r w:rsidR="00B50A99">
        <w:rPr>
          <w:lang w:val="en-GB"/>
        </w:rPr>
        <w:t>s</w:t>
      </w:r>
      <w:r w:rsidRPr="000A0B50">
        <w:rPr>
          <w:lang w:val="en-GB"/>
        </w:rPr>
        <w:t>ufentanil</w:t>
      </w:r>
      <w:proofErr w:type="spellEnd"/>
      <w:r>
        <w:rPr>
          <w:lang w:val="en-GB"/>
        </w:rPr>
        <w:t xml:space="preserve"> </w:t>
      </w:r>
      <w:r w:rsidR="00B50A99">
        <w:rPr>
          <w:lang w:val="en-GB"/>
        </w:rPr>
        <w:t xml:space="preserve">tablet </w:t>
      </w:r>
      <w:r w:rsidR="00877FCC">
        <w:rPr>
          <w:lang w:val="en-GB"/>
        </w:rPr>
        <w:t xml:space="preserve">is administered via a pre-programmed, patient-controlled, non-invasive handheld device. </w:t>
      </w:r>
      <w:proofErr w:type="spellStart"/>
      <w:r>
        <w:rPr>
          <w:lang w:val="en-GB"/>
        </w:rPr>
        <w:t>Sufentanil</w:t>
      </w:r>
      <w:proofErr w:type="spellEnd"/>
      <w:r>
        <w:rPr>
          <w:lang w:val="en-GB"/>
        </w:rPr>
        <w:t xml:space="preserve"> </w:t>
      </w:r>
      <w:r w:rsidR="00666B4C">
        <w:rPr>
          <w:lang w:val="en-GB"/>
        </w:rPr>
        <w:t>is a short acting opioid with</w:t>
      </w:r>
      <w:r w:rsidR="00EB1876">
        <w:rPr>
          <w:lang w:val="en-GB"/>
        </w:rPr>
        <w:t xml:space="preserve"> comparable </w:t>
      </w:r>
      <w:r w:rsidR="007C7EC5">
        <w:rPr>
          <w:lang w:val="en-GB"/>
        </w:rPr>
        <w:t>side effect</w:t>
      </w:r>
      <w:r w:rsidR="00666B4C">
        <w:rPr>
          <w:lang w:val="en-GB"/>
        </w:rPr>
        <w:t>s</w:t>
      </w:r>
      <w:r w:rsidR="007C7EC5">
        <w:rPr>
          <w:lang w:val="en-GB"/>
        </w:rPr>
        <w:t xml:space="preserve"> </w:t>
      </w:r>
      <w:r w:rsidR="00B50A99">
        <w:rPr>
          <w:lang w:val="en-GB"/>
        </w:rPr>
        <w:t>to morphine. It has already been shown to be safe and efficacious compared with morphine PCA</w:t>
      </w:r>
      <w:r w:rsidRPr="00B50A99">
        <w:rPr>
          <w:vertAlign w:val="superscript"/>
          <w:lang w:val="en-GB"/>
        </w:rPr>
        <w:t>1</w:t>
      </w:r>
      <w:r w:rsidR="00B50A99">
        <w:rPr>
          <w:vertAlign w:val="superscript"/>
          <w:lang w:val="en-GB"/>
        </w:rPr>
        <w:t xml:space="preserve"> </w:t>
      </w:r>
      <w:r w:rsidR="00B50A99" w:rsidRPr="00B50A99">
        <w:rPr>
          <w:lang w:val="en-GB"/>
        </w:rPr>
        <w:t>and is approved and recommended by the National Institute of Clinical excellence (</w:t>
      </w:r>
      <w:proofErr w:type="gramStart"/>
      <w:r w:rsidR="00B50A99" w:rsidRPr="00B50A99">
        <w:rPr>
          <w:lang w:val="en-GB"/>
        </w:rPr>
        <w:t>NICE)</w:t>
      </w:r>
      <w:r w:rsidR="00B00B16" w:rsidRPr="00B00B16">
        <w:rPr>
          <w:vertAlign w:val="superscript"/>
          <w:lang w:val="en-GB"/>
        </w:rPr>
        <w:t>2</w:t>
      </w:r>
      <w:proofErr w:type="gramEnd"/>
      <w:r w:rsidR="00B50A99" w:rsidRPr="00B50A99">
        <w:rPr>
          <w:lang w:val="en-GB"/>
        </w:rPr>
        <w:t>.</w:t>
      </w:r>
    </w:p>
    <w:p w14:paraId="476A115F" w14:textId="77777777" w:rsidR="000A0B50" w:rsidRPr="000A0B50" w:rsidRDefault="000A0B50" w:rsidP="00133665">
      <w:pPr>
        <w:jc w:val="both"/>
        <w:rPr>
          <w:lang w:val="en-GB"/>
        </w:rPr>
      </w:pPr>
    </w:p>
    <w:p w14:paraId="4B293F87" w14:textId="4C85D310" w:rsidR="000A0B50" w:rsidRPr="00DE486D" w:rsidRDefault="000A0B50" w:rsidP="00133665">
      <w:pPr>
        <w:jc w:val="both"/>
        <w:rPr>
          <w:b/>
          <w:lang w:val="en-GB"/>
        </w:rPr>
      </w:pPr>
      <w:r w:rsidRPr="00DE486D">
        <w:rPr>
          <w:b/>
          <w:lang w:val="en-GB"/>
        </w:rPr>
        <w:t>Aims and Object</w:t>
      </w:r>
      <w:r w:rsidR="00605C33" w:rsidRPr="00DE486D">
        <w:rPr>
          <w:b/>
          <w:lang w:val="en-GB"/>
        </w:rPr>
        <w:t>i</w:t>
      </w:r>
      <w:r w:rsidRPr="00DE486D">
        <w:rPr>
          <w:b/>
          <w:lang w:val="en-GB"/>
        </w:rPr>
        <w:t>ves</w:t>
      </w:r>
      <w:r w:rsidR="00DE486D">
        <w:rPr>
          <w:b/>
          <w:lang w:val="en-GB"/>
        </w:rPr>
        <w:t>:</w:t>
      </w:r>
    </w:p>
    <w:p w14:paraId="58C6E9A5" w14:textId="1B5FB084" w:rsidR="007C7EC5" w:rsidRPr="007C7EC5" w:rsidRDefault="004C2C6B" w:rsidP="00133665">
      <w:pPr>
        <w:jc w:val="both"/>
        <w:rPr>
          <w:b/>
          <w:i/>
          <w:lang w:val="en-GB"/>
        </w:rPr>
      </w:pPr>
      <w:proofErr w:type="gramStart"/>
      <w:r>
        <w:rPr>
          <w:lang w:val="en-GB"/>
        </w:rPr>
        <w:t>To assess the efficacy of SS-</w:t>
      </w:r>
      <w:r w:rsidR="00EB1876">
        <w:t xml:space="preserve">PCA </w:t>
      </w:r>
      <w:r w:rsidR="00EB1876">
        <w:rPr>
          <w:lang w:val="en-GB"/>
        </w:rPr>
        <w:t xml:space="preserve">in </w:t>
      </w:r>
      <w:r w:rsidR="00D34588">
        <w:rPr>
          <w:lang w:val="en-GB"/>
        </w:rPr>
        <w:t>reducing</w:t>
      </w:r>
      <w:r w:rsidR="00EB1876">
        <w:rPr>
          <w:lang w:val="en-GB"/>
        </w:rPr>
        <w:t xml:space="preserve"> post-operative pain in </w:t>
      </w:r>
      <w:r w:rsidR="00B50A99">
        <w:rPr>
          <w:lang w:val="en-GB"/>
        </w:rPr>
        <w:t xml:space="preserve">our </w:t>
      </w:r>
      <w:r w:rsidR="00EB1876">
        <w:rPr>
          <w:lang w:val="en-GB"/>
        </w:rPr>
        <w:t>patients undergoing TKR</w:t>
      </w:r>
      <w:r w:rsidR="00D34588">
        <w:rPr>
          <w:lang w:val="en-GB"/>
        </w:rPr>
        <w:t>.</w:t>
      </w:r>
      <w:proofErr w:type="gramEnd"/>
    </w:p>
    <w:p w14:paraId="5A12C81D" w14:textId="77777777" w:rsidR="000A0B50" w:rsidRDefault="000A0B50" w:rsidP="00133665">
      <w:pPr>
        <w:jc w:val="both"/>
        <w:rPr>
          <w:lang w:val="en-GB"/>
        </w:rPr>
      </w:pPr>
    </w:p>
    <w:p w14:paraId="1D93E205" w14:textId="44FEEE26" w:rsidR="000A0B50" w:rsidRPr="00DE486D" w:rsidRDefault="000A0B50" w:rsidP="00133665">
      <w:pPr>
        <w:jc w:val="both"/>
        <w:rPr>
          <w:b/>
          <w:lang w:val="en-GB"/>
        </w:rPr>
      </w:pPr>
      <w:r w:rsidRPr="00DE486D">
        <w:rPr>
          <w:b/>
          <w:lang w:val="en-GB"/>
        </w:rPr>
        <w:t>Methods</w:t>
      </w:r>
      <w:r w:rsidR="00DE486D">
        <w:rPr>
          <w:b/>
          <w:lang w:val="en-GB"/>
        </w:rPr>
        <w:t>:</w:t>
      </w:r>
    </w:p>
    <w:p w14:paraId="4228622B" w14:textId="33288CE4" w:rsidR="00C65CE8" w:rsidRDefault="00EB1876" w:rsidP="00133665">
      <w:pPr>
        <w:jc w:val="both"/>
        <w:rPr>
          <w:lang w:val="en-GB"/>
        </w:rPr>
      </w:pPr>
      <w:r w:rsidRPr="00B50A99">
        <w:t xml:space="preserve">A prospective </w:t>
      </w:r>
      <w:r w:rsidR="002E6AE3" w:rsidRPr="00B50A99">
        <w:t>non-</w:t>
      </w:r>
      <w:proofErr w:type="spellStart"/>
      <w:r w:rsidR="002E6AE3" w:rsidRPr="00B50A99">
        <w:t>randomised</w:t>
      </w:r>
      <w:proofErr w:type="spellEnd"/>
      <w:r w:rsidR="002E6AE3" w:rsidRPr="00B50A99">
        <w:t xml:space="preserve"> </w:t>
      </w:r>
      <w:r w:rsidR="007C7EC5" w:rsidRPr="00B50A99">
        <w:t xml:space="preserve">questionnaire based </w:t>
      </w:r>
      <w:r w:rsidR="00EA4085" w:rsidRPr="00B50A99">
        <w:t xml:space="preserve">drug evaluation </w:t>
      </w:r>
      <w:r w:rsidR="007C7EC5" w:rsidRPr="00B50A99">
        <w:t>study was undertaken.</w:t>
      </w:r>
      <w:r w:rsidR="002E6AE3" w:rsidRPr="00B50A99">
        <w:t xml:space="preserve"> </w:t>
      </w:r>
      <w:r w:rsidR="007C7EC5" w:rsidRPr="00B50A99">
        <w:t>Ethical approval was not required</w:t>
      </w:r>
      <w:r w:rsidR="00EA4085" w:rsidRPr="00B50A99">
        <w:t>.</w:t>
      </w:r>
      <w:r w:rsidR="00B50A99">
        <w:t xml:space="preserve"> </w:t>
      </w:r>
      <w:r w:rsidR="002E6AE3" w:rsidRPr="00B50A99">
        <w:t>All patients undergoing elective TKR were included</w:t>
      </w:r>
      <w:r w:rsidR="00FE55EB">
        <w:t xml:space="preserve"> during the study dates</w:t>
      </w:r>
      <w:r w:rsidR="002E6AE3" w:rsidRPr="00B50A99">
        <w:t>.</w:t>
      </w:r>
    </w:p>
    <w:p w14:paraId="4D52995B" w14:textId="35B1DF52" w:rsidR="00C93D4E" w:rsidRPr="00605C33" w:rsidRDefault="00B50A99" w:rsidP="00133665">
      <w:pPr>
        <w:jc w:val="both"/>
        <w:rPr>
          <w:lang w:val="en-GB"/>
        </w:rPr>
      </w:pPr>
      <w:r>
        <w:t xml:space="preserve">Patients were given </w:t>
      </w:r>
      <w:r w:rsidRPr="00B50A99">
        <w:t xml:space="preserve">oral </w:t>
      </w:r>
      <w:r w:rsidR="001C7F58" w:rsidRPr="00B50A99">
        <w:t>and written info</w:t>
      </w:r>
      <w:r>
        <w:t xml:space="preserve">rmation explaining the device and the </w:t>
      </w:r>
      <w:r w:rsidR="004C2C6B">
        <w:t>SS-</w:t>
      </w:r>
      <w:r w:rsidR="00C93D4E" w:rsidRPr="00605C33">
        <w:t xml:space="preserve">PCA </w:t>
      </w:r>
      <w:r>
        <w:t xml:space="preserve">was commenced </w:t>
      </w:r>
      <w:r w:rsidR="004C2C6B">
        <w:t xml:space="preserve">post-operatively </w:t>
      </w:r>
      <w:r>
        <w:t xml:space="preserve">in </w:t>
      </w:r>
      <w:r w:rsidR="004C2C6B">
        <w:t xml:space="preserve">theatre </w:t>
      </w:r>
      <w:r>
        <w:t>recovery</w:t>
      </w:r>
      <w:r w:rsidR="00C65CE8">
        <w:t>.</w:t>
      </w:r>
    </w:p>
    <w:p w14:paraId="74D21318" w14:textId="5CD579FB" w:rsidR="00C93D4E" w:rsidRDefault="00C93D4E" w:rsidP="00133665">
      <w:pPr>
        <w:jc w:val="both"/>
        <w:rPr>
          <w:lang w:val="en-GB"/>
        </w:rPr>
      </w:pPr>
      <w:proofErr w:type="spellStart"/>
      <w:r w:rsidRPr="00605C33">
        <w:t>Anaesthetic</w:t>
      </w:r>
      <w:proofErr w:type="spellEnd"/>
      <w:r w:rsidRPr="00605C33">
        <w:t xml:space="preserve"> and regional block </w:t>
      </w:r>
      <w:r w:rsidR="004A5DB4">
        <w:t xml:space="preserve">techniques were </w:t>
      </w:r>
      <w:r w:rsidR="00B50A99">
        <w:t>not controlled</w:t>
      </w:r>
      <w:r w:rsidR="00C65CE8">
        <w:t>. A</w:t>
      </w:r>
      <w:r w:rsidR="004A5DB4">
        <w:t>dditional o</w:t>
      </w:r>
      <w:proofErr w:type="spellStart"/>
      <w:r w:rsidR="00605C33">
        <w:rPr>
          <w:lang w:val="en-GB"/>
        </w:rPr>
        <w:t>piates</w:t>
      </w:r>
      <w:proofErr w:type="spellEnd"/>
      <w:r w:rsidR="00605C33">
        <w:rPr>
          <w:lang w:val="en-GB"/>
        </w:rPr>
        <w:t xml:space="preserve"> </w:t>
      </w:r>
      <w:r w:rsidR="00B50A99">
        <w:rPr>
          <w:lang w:val="en-GB"/>
        </w:rPr>
        <w:t>were restricted to fentanyl and g</w:t>
      </w:r>
      <w:r w:rsidR="00605C33">
        <w:rPr>
          <w:lang w:val="en-GB"/>
        </w:rPr>
        <w:t xml:space="preserve">abapentin </w:t>
      </w:r>
      <w:r w:rsidR="004A5DB4">
        <w:rPr>
          <w:lang w:val="en-GB"/>
        </w:rPr>
        <w:t xml:space="preserve">was </w:t>
      </w:r>
      <w:r w:rsidR="004C2C6B">
        <w:rPr>
          <w:lang w:val="en-GB"/>
        </w:rPr>
        <w:t>omitted.</w:t>
      </w:r>
    </w:p>
    <w:p w14:paraId="7597BED9" w14:textId="4CC19D7D" w:rsidR="000114C0" w:rsidRDefault="00B50A99" w:rsidP="00133665">
      <w:pPr>
        <w:jc w:val="both"/>
      </w:pPr>
      <w:r w:rsidRPr="000114C0">
        <w:t>Pain scores were rec</w:t>
      </w:r>
      <w:r w:rsidR="00FE55EB">
        <w:t xml:space="preserve">orded 4 hourly on a standard </w:t>
      </w:r>
      <w:proofErr w:type="gramStart"/>
      <w:r w:rsidR="00FE55EB">
        <w:t>10</w:t>
      </w:r>
      <w:r w:rsidRPr="000114C0">
        <w:t xml:space="preserve"> point</w:t>
      </w:r>
      <w:proofErr w:type="gramEnd"/>
      <w:r w:rsidRPr="000114C0">
        <w:t xml:space="preserve"> visual analogu</w:t>
      </w:r>
      <w:r w:rsidR="000114C0" w:rsidRPr="000114C0">
        <w:t xml:space="preserve">e scale (VAS) by </w:t>
      </w:r>
      <w:r w:rsidR="00FE55EB">
        <w:t>nursing</w:t>
      </w:r>
      <w:r w:rsidR="000114C0" w:rsidRPr="000114C0">
        <w:t xml:space="preserve"> staff and all </w:t>
      </w:r>
      <w:r w:rsidR="00FE55EB" w:rsidRPr="000114C0">
        <w:t>patients</w:t>
      </w:r>
      <w:r w:rsidR="000114C0" w:rsidRPr="000114C0">
        <w:t xml:space="preserve"> were reviewed daily </w:t>
      </w:r>
      <w:r w:rsidR="00605C33" w:rsidRPr="000114C0">
        <w:t xml:space="preserve">by </w:t>
      </w:r>
      <w:r w:rsidR="000114C0" w:rsidRPr="000114C0">
        <w:t xml:space="preserve">our </w:t>
      </w:r>
      <w:r w:rsidR="00605C33" w:rsidRPr="000114C0">
        <w:t>i</w:t>
      </w:r>
      <w:r w:rsidR="00C93D4E" w:rsidRPr="000114C0">
        <w:t xml:space="preserve">npatient pain sister </w:t>
      </w:r>
      <w:r w:rsidR="000114C0" w:rsidRPr="000114C0">
        <w:t>who recorded any adverse events</w:t>
      </w:r>
      <w:r w:rsidR="00605C33">
        <w:t xml:space="preserve">. </w:t>
      </w:r>
      <w:r w:rsidR="004D326D">
        <w:t xml:space="preserve"> ‘Severe’ pain was deemed a pain score greater than 6.</w:t>
      </w:r>
    </w:p>
    <w:p w14:paraId="68EFA01A" w14:textId="43954CE6" w:rsidR="001C7F58" w:rsidRDefault="000114C0" w:rsidP="00133665">
      <w:pPr>
        <w:jc w:val="both"/>
      </w:pPr>
      <w:r>
        <w:t xml:space="preserve">On discontinuation of the treatment </w:t>
      </w:r>
      <w:r w:rsidR="0069640A" w:rsidRPr="00605C33">
        <w:t>patien</w:t>
      </w:r>
      <w:r w:rsidR="0069640A">
        <w:t>ts</w:t>
      </w:r>
      <w:r w:rsidR="00C93D4E" w:rsidRPr="00605C33">
        <w:t xml:space="preserve"> and staff nurse</w:t>
      </w:r>
      <w:r w:rsidR="00605C33">
        <w:t xml:space="preserve">s </w:t>
      </w:r>
      <w:r>
        <w:t xml:space="preserve">completed </w:t>
      </w:r>
      <w:r w:rsidR="00C93D4E" w:rsidRPr="00605C33">
        <w:t>questionnaire</w:t>
      </w:r>
      <w:r w:rsidR="00605C33">
        <w:t>s</w:t>
      </w:r>
      <w:r w:rsidR="0069640A">
        <w:t xml:space="preserve"> evaluating the SS-</w:t>
      </w:r>
      <w:r>
        <w:t>PCA</w:t>
      </w:r>
      <w:r w:rsidR="00C65CE8">
        <w:t xml:space="preserve"> on a series of</w:t>
      </w:r>
      <w:r>
        <w:t xml:space="preserve"> Likert scaled statements and free text answ</w:t>
      </w:r>
      <w:r w:rsidR="00C65CE8">
        <w:t>ers.</w:t>
      </w:r>
    </w:p>
    <w:p w14:paraId="5EE0FC6D" w14:textId="77777777" w:rsidR="001C7F58" w:rsidRDefault="001C7F58" w:rsidP="00133665">
      <w:pPr>
        <w:jc w:val="both"/>
        <w:rPr>
          <w:b/>
          <w:i/>
        </w:rPr>
      </w:pPr>
    </w:p>
    <w:p w14:paraId="5C72B7DD" w14:textId="77777777" w:rsidR="004C2C6B" w:rsidRPr="004A5DB4" w:rsidRDefault="004C2C6B" w:rsidP="00133665">
      <w:pPr>
        <w:jc w:val="both"/>
      </w:pPr>
    </w:p>
    <w:p w14:paraId="59809FBB" w14:textId="0302F06A" w:rsidR="00264137" w:rsidRPr="00DE486D" w:rsidRDefault="000A0B50" w:rsidP="00133665">
      <w:pPr>
        <w:jc w:val="both"/>
        <w:rPr>
          <w:b/>
          <w:lang w:val="en-GB"/>
        </w:rPr>
      </w:pPr>
      <w:r w:rsidRPr="00DE486D">
        <w:rPr>
          <w:b/>
          <w:lang w:val="en-GB"/>
        </w:rPr>
        <w:t>Main Results</w:t>
      </w:r>
      <w:r w:rsidR="00DE486D">
        <w:rPr>
          <w:b/>
          <w:lang w:val="en-GB"/>
        </w:rPr>
        <w:t>:</w:t>
      </w:r>
    </w:p>
    <w:p w14:paraId="2631DCBF" w14:textId="523F3DF0" w:rsidR="00963778" w:rsidRDefault="004C2C6B" w:rsidP="00133665">
      <w:pPr>
        <w:jc w:val="both"/>
        <w:rPr>
          <w:lang w:val="en-GB"/>
        </w:rPr>
      </w:pPr>
      <w:r>
        <w:rPr>
          <w:lang w:val="en-GB"/>
        </w:rPr>
        <w:t xml:space="preserve">31 patients undergoing elective TKR received post-operative SS-PCA. </w:t>
      </w:r>
      <w:r w:rsidR="00FE50DC">
        <w:rPr>
          <w:lang w:val="en-GB"/>
        </w:rPr>
        <w:t>3.6</w:t>
      </w:r>
      <w:r w:rsidR="00583710">
        <w:rPr>
          <w:lang w:val="en-GB"/>
        </w:rPr>
        <w:t xml:space="preserve">% </w:t>
      </w:r>
      <w:r w:rsidR="00FE50DC">
        <w:rPr>
          <w:lang w:val="en-GB"/>
        </w:rPr>
        <w:t xml:space="preserve">(n=1) </w:t>
      </w:r>
      <w:r w:rsidR="00583710">
        <w:rPr>
          <w:lang w:val="en-GB"/>
        </w:rPr>
        <w:t>reported severe pain on post op day 1 compared with 65% in our retrospectively collated audit of ‘standard’ treatment.</w:t>
      </w:r>
      <w:r w:rsidR="00963778" w:rsidRPr="00963778">
        <w:rPr>
          <w:lang w:val="en-GB"/>
        </w:rPr>
        <w:t xml:space="preserve"> </w:t>
      </w:r>
      <w:r w:rsidR="00B00B16">
        <w:rPr>
          <w:lang w:val="en-GB"/>
        </w:rPr>
        <w:t xml:space="preserve">9.7% (n=3) patients were unable to tolerate </w:t>
      </w:r>
      <w:r w:rsidR="00B00B16">
        <w:rPr>
          <w:lang w:val="en-GB"/>
        </w:rPr>
        <w:lastRenderedPageBreak/>
        <w:t>SS-PCA due to nausea and 83% would recommend it to a friend or use it again for post-operative pain relief.</w:t>
      </w:r>
    </w:p>
    <w:p w14:paraId="1B127CA3" w14:textId="03D11420" w:rsidR="00FE50DC" w:rsidRDefault="00963778" w:rsidP="00133665">
      <w:pPr>
        <w:jc w:val="both"/>
        <w:rPr>
          <w:lang w:val="en-GB"/>
        </w:rPr>
      </w:pPr>
      <w:r>
        <w:rPr>
          <w:lang w:val="en-GB"/>
        </w:rPr>
        <w:t>Nursing staff reported that SS-PCA saved considerable time (</w:t>
      </w:r>
      <w:r w:rsidR="00FE50DC">
        <w:rPr>
          <w:lang w:val="en-GB"/>
        </w:rPr>
        <w:t>median</w:t>
      </w:r>
      <w:r>
        <w:rPr>
          <w:lang w:val="en-GB"/>
        </w:rPr>
        <w:t xml:space="preserve"> agreement with “</w:t>
      </w:r>
      <w:r w:rsidRPr="00963778">
        <w:rPr>
          <w:i/>
          <w:lang w:val="en-GB"/>
        </w:rPr>
        <w:t>80% time saved</w:t>
      </w:r>
      <w:r>
        <w:rPr>
          <w:lang w:val="en-GB"/>
        </w:rPr>
        <w:t>”) compared to standard treatment</w:t>
      </w:r>
      <w:r w:rsidR="00FE50DC">
        <w:rPr>
          <w:lang w:val="en-GB"/>
        </w:rPr>
        <w:t xml:space="preserve"> and they reported that pain was managed </w:t>
      </w:r>
      <w:r w:rsidR="00FE50DC">
        <w:rPr>
          <w:i/>
          <w:lang w:val="en-GB"/>
        </w:rPr>
        <w:t>“</w:t>
      </w:r>
      <w:r w:rsidR="00FE50DC" w:rsidRPr="00FE50DC">
        <w:rPr>
          <w:i/>
          <w:lang w:val="en-GB"/>
        </w:rPr>
        <w:t>70% better</w:t>
      </w:r>
      <w:r w:rsidR="00FE50DC">
        <w:rPr>
          <w:i/>
          <w:lang w:val="en-GB"/>
        </w:rPr>
        <w:t>”</w:t>
      </w:r>
      <w:r w:rsidR="00FE50DC">
        <w:rPr>
          <w:lang w:val="en-GB"/>
        </w:rPr>
        <w:t xml:space="preserve"> using SS-PCA versus standard treatment.</w:t>
      </w:r>
    </w:p>
    <w:p w14:paraId="101EEB97" w14:textId="06FDC01B" w:rsidR="004C2C6B" w:rsidRDefault="00963778" w:rsidP="00133665">
      <w:pPr>
        <w:jc w:val="both"/>
        <w:rPr>
          <w:lang w:val="en-GB"/>
        </w:rPr>
      </w:pPr>
      <w:r>
        <w:rPr>
          <w:lang w:val="en-GB"/>
        </w:rPr>
        <w:t xml:space="preserve">All staff </w:t>
      </w:r>
      <w:r w:rsidR="00B00B16">
        <w:rPr>
          <w:lang w:val="en-GB"/>
        </w:rPr>
        <w:t xml:space="preserve">and patients </w:t>
      </w:r>
      <w:proofErr w:type="gramStart"/>
      <w:r>
        <w:rPr>
          <w:lang w:val="en-GB"/>
        </w:rPr>
        <w:t>agreed that</w:t>
      </w:r>
      <w:proofErr w:type="gramEnd"/>
      <w:r>
        <w:rPr>
          <w:lang w:val="en-GB"/>
        </w:rPr>
        <w:t xml:space="preserve"> “</w:t>
      </w:r>
      <w:r w:rsidRPr="00963778">
        <w:rPr>
          <w:i/>
          <w:lang w:val="en-GB"/>
        </w:rPr>
        <w:t>the device was</w:t>
      </w:r>
      <w:r>
        <w:rPr>
          <w:lang w:val="en-GB"/>
        </w:rPr>
        <w:t xml:space="preserve"> </w:t>
      </w:r>
      <w:r w:rsidRPr="00963778">
        <w:rPr>
          <w:i/>
          <w:lang w:val="en-GB"/>
        </w:rPr>
        <w:t>very easy to use</w:t>
      </w:r>
      <w:r>
        <w:rPr>
          <w:lang w:val="en-GB"/>
        </w:rPr>
        <w:t>”.</w:t>
      </w:r>
    </w:p>
    <w:p w14:paraId="555F84BA" w14:textId="77777777" w:rsidR="00C93D4E" w:rsidRDefault="00C93D4E" w:rsidP="00133665">
      <w:pPr>
        <w:jc w:val="both"/>
        <w:rPr>
          <w:lang w:val="en-GB"/>
        </w:rPr>
      </w:pPr>
    </w:p>
    <w:p w14:paraId="377C435A" w14:textId="22CDC65C" w:rsidR="000A0B50" w:rsidRPr="00DE486D" w:rsidRDefault="00C93D4E" w:rsidP="00133665">
      <w:pPr>
        <w:jc w:val="both"/>
        <w:rPr>
          <w:b/>
          <w:lang w:val="en-GB"/>
        </w:rPr>
      </w:pPr>
      <w:r w:rsidRPr="00DE486D">
        <w:rPr>
          <w:b/>
          <w:lang w:val="en-GB"/>
        </w:rPr>
        <w:t>Conclusions</w:t>
      </w:r>
      <w:r w:rsidR="00DE486D">
        <w:rPr>
          <w:b/>
          <w:lang w:val="en-GB"/>
        </w:rPr>
        <w:t>:</w:t>
      </w:r>
    </w:p>
    <w:p w14:paraId="470B7A57" w14:textId="4FBF934A" w:rsidR="00C93D4E" w:rsidRPr="00C93D4E" w:rsidRDefault="00B00B16" w:rsidP="00133665">
      <w:pPr>
        <w:jc w:val="both"/>
        <w:rPr>
          <w:lang w:val="en-GB"/>
        </w:rPr>
      </w:pPr>
      <w:r>
        <w:t>SS-PCA</w:t>
      </w:r>
      <w:r w:rsidR="00EB1876">
        <w:t xml:space="preserve"> </w:t>
      </w:r>
      <w:r>
        <w:t>offers effective analgesia in patient</w:t>
      </w:r>
      <w:r w:rsidR="0069640A">
        <w:t>s</w:t>
      </w:r>
      <w:r>
        <w:t xml:space="preserve"> undergoing elective</w:t>
      </w:r>
      <w:r w:rsidR="00C93D4E" w:rsidRPr="00C93D4E">
        <w:t xml:space="preserve"> TKR</w:t>
      </w:r>
      <w:r>
        <w:t xml:space="preserve">, with patients reporting </w:t>
      </w:r>
      <w:r w:rsidR="00C93D4E" w:rsidRPr="00C93D4E">
        <w:t>low pain scores and minimal associated nausea.</w:t>
      </w:r>
      <w:r w:rsidR="00C93D4E">
        <w:rPr>
          <w:lang w:val="en-GB"/>
        </w:rPr>
        <w:t xml:space="preserve"> </w:t>
      </w:r>
      <w:r w:rsidR="00C93D4E" w:rsidRPr="00C93D4E">
        <w:t xml:space="preserve">Nursing staff </w:t>
      </w:r>
      <w:proofErr w:type="gramStart"/>
      <w:r w:rsidR="00C93D4E" w:rsidRPr="00C93D4E">
        <w:t>find</w:t>
      </w:r>
      <w:proofErr w:type="gramEnd"/>
      <w:r w:rsidR="00C93D4E" w:rsidRPr="00C93D4E">
        <w:t xml:space="preserve"> it easy to use</w:t>
      </w:r>
      <w:r>
        <w:t>,</w:t>
      </w:r>
      <w:r w:rsidR="00C93D4E" w:rsidRPr="00C93D4E">
        <w:t xml:space="preserve"> less time consuming </w:t>
      </w:r>
      <w:r>
        <w:t>and perceive its efficacy far superior to standard treatment</w:t>
      </w:r>
      <w:r w:rsidR="00C93D4E" w:rsidRPr="00C93D4E">
        <w:t>.</w:t>
      </w:r>
    </w:p>
    <w:p w14:paraId="1E61373F" w14:textId="7AA71BD7" w:rsidR="00C93D4E" w:rsidRPr="00C93D4E" w:rsidRDefault="00C93D4E" w:rsidP="00133665">
      <w:pPr>
        <w:jc w:val="both"/>
        <w:rPr>
          <w:lang w:val="en-GB"/>
        </w:rPr>
      </w:pPr>
      <w:r w:rsidRPr="00C93D4E">
        <w:t>We are currently undertaking a formulary appli</w:t>
      </w:r>
      <w:r w:rsidR="00EB1876">
        <w:t xml:space="preserve">cation to get </w:t>
      </w:r>
      <w:proofErr w:type="spellStart"/>
      <w:r w:rsidR="00EB1876">
        <w:t>sufentanil</w:t>
      </w:r>
      <w:proofErr w:type="spellEnd"/>
      <w:r w:rsidR="00EB1876">
        <w:t xml:space="preserve"> added s</w:t>
      </w:r>
      <w:r w:rsidRPr="00C93D4E">
        <w:t>o that we can use it routinely in all TKR patients.</w:t>
      </w:r>
    </w:p>
    <w:p w14:paraId="129124FC" w14:textId="0DCF573F" w:rsidR="00C93D4E" w:rsidRPr="00C93D4E" w:rsidRDefault="00C93D4E" w:rsidP="00133665">
      <w:pPr>
        <w:jc w:val="both"/>
        <w:rPr>
          <w:lang w:val="en-GB"/>
        </w:rPr>
      </w:pPr>
      <w:r w:rsidRPr="00C93D4E">
        <w:t>We m</w:t>
      </w:r>
      <w:r w:rsidR="0069640A">
        <w:t xml:space="preserve">ay expand the use of SS-PCA </w:t>
      </w:r>
      <w:r w:rsidRPr="00C93D4E">
        <w:t>to include other surgical specialties</w:t>
      </w:r>
      <w:r w:rsidR="00B00B16">
        <w:t xml:space="preserve"> such </w:t>
      </w:r>
      <w:r w:rsidR="0069640A">
        <w:t xml:space="preserve">as </w:t>
      </w:r>
      <w:proofErr w:type="spellStart"/>
      <w:r w:rsidR="0069640A">
        <w:t>gynaecology</w:t>
      </w:r>
      <w:proofErr w:type="spellEnd"/>
      <w:r w:rsidR="0069640A">
        <w:t xml:space="preserve"> and c</w:t>
      </w:r>
      <w:r w:rsidR="00B00B16">
        <w:t>olore</w:t>
      </w:r>
      <w:r w:rsidRPr="00C93D4E">
        <w:t>ctal surgery.</w:t>
      </w:r>
    </w:p>
    <w:p w14:paraId="35309ACE" w14:textId="77777777" w:rsidR="000A0B50" w:rsidRPr="000A0B50" w:rsidRDefault="000A0B50" w:rsidP="00133665">
      <w:pPr>
        <w:jc w:val="both"/>
        <w:rPr>
          <w:lang w:val="en-GB"/>
        </w:rPr>
      </w:pPr>
    </w:p>
    <w:p w14:paraId="24AF92C6" w14:textId="77777777" w:rsidR="000A0B50" w:rsidRPr="000A0B50" w:rsidRDefault="000A0B50" w:rsidP="00133665">
      <w:pPr>
        <w:jc w:val="both"/>
      </w:pPr>
    </w:p>
    <w:p w14:paraId="7E9E89C5" w14:textId="77777777" w:rsidR="000A0B50" w:rsidRDefault="000A0B50" w:rsidP="00133665">
      <w:pPr>
        <w:jc w:val="both"/>
      </w:pPr>
    </w:p>
    <w:p w14:paraId="23185496" w14:textId="4B3F8593" w:rsidR="000A0B50" w:rsidRPr="00DE486D" w:rsidRDefault="00C93D4E" w:rsidP="00133665">
      <w:pPr>
        <w:jc w:val="both"/>
        <w:rPr>
          <w:b/>
        </w:rPr>
      </w:pPr>
      <w:r w:rsidRPr="00DE486D">
        <w:rPr>
          <w:b/>
        </w:rPr>
        <w:t>References</w:t>
      </w:r>
      <w:r w:rsidR="00DE486D">
        <w:rPr>
          <w:b/>
        </w:rPr>
        <w:t>:</w:t>
      </w:r>
    </w:p>
    <w:p w14:paraId="64F3BD0C" w14:textId="1C49DB8F" w:rsidR="00C93D4E" w:rsidRPr="00B00B16" w:rsidRDefault="00C93D4E" w:rsidP="00133665">
      <w:pPr>
        <w:jc w:val="both"/>
      </w:pPr>
      <w:r w:rsidRPr="00B00B16">
        <w:rPr>
          <w:b/>
        </w:rPr>
        <w:t>1.</w:t>
      </w:r>
      <w:r>
        <w:t xml:space="preserve"> </w:t>
      </w:r>
      <w:proofErr w:type="spellStart"/>
      <w:r w:rsidRPr="00C93D4E">
        <w:t>Melson</w:t>
      </w:r>
      <w:proofErr w:type="spellEnd"/>
      <w:r w:rsidRPr="00C93D4E">
        <w:t xml:space="preserve">, T. I., Boyer, D. L., </w:t>
      </w:r>
      <w:proofErr w:type="spellStart"/>
      <w:r w:rsidRPr="00C93D4E">
        <w:t>Minkowitz</w:t>
      </w:r>
      <w:proofErr w:type="spellEnd"/>
      <w:r w:rsidRPr="00C93D4E">
        <w:t xml:space="preserve">, H. S., </w:t>
      </w:r>
      <w:proofErr w:type="spellStart"/>
      <w:r w:rsidRPr="00C93D4E">
        <w:t>Turan</w:t>
      </w:r>
      <w:proofErr w:type="spellEnd"/>
      <w:r w:rsidRPr="00C93D4E">
        <w:t xml:space="preserve">, A., Chiang, Y.-K., </w:t>
      </w:r>
      <w:proofErr w:type="spellStart"/>
      <w:r w:rsidRPr="00C93D4E">
        <w:t>Evashenk</w:t>
      </w:r>
      <w:proofErr w:type="spellEnd"/>
      <w:r w:rsidRPr="00C93D4E">
        <w:t xml:space="preserve">, M. A. and Palmer, P. P. (2014), </w:t>
      </w:r>
      <w:proofErr w:type="spellStart"/>
      <w:r w:rsidRPr="00C93D4E">
        <w:t>Sufentanil</w:t>
      </w:r>
      <w:proofErr w:type="spellEnd"/>
      <w:r w:rsidRPr="00C93D4E">
        <w:t xml:space="preserve"> Sublingual Tablet System vs. Intravenous Patient-Controlled Analgesia with Morphine for Postoperative Pain Control: A </w:t>
      </w:r>
      <w:r w:rsidRPr="00B00B16">
        <w:t xml:space="preserve">Randomized, Active-Comparator Trial. Pain </w:t>
      </w:r>
      <w:proofErr w:type="spellStart"/>
      <w:r w:rsidRPr="00B00B16">
        <w:t>Pract</w:t>
      </w:r>
      <w:proofErr w:type="spellEnd"/>
      <w:r w:rsidRPr="00B00B16">
        <w:t>, 14: 679–688. doi:10.1111/papr.12238</w:t>
      </w:r>
    </w:p>
    <w:p w14:paraId="6CD56A76" w14:textId="77777777" w:rsidR="00B31266" w:rsidRPr="00B00B16" w:rsidRDefault="00B31266" w:rsidP="00133665">
      <w:pPr>
        <w:jc w:val="both"/>
      </w:pPr>
    </w:p>
    <w:p w14:paraId="03028C9F" w14:textId="37041006" w:rsidR="00B00B16" w:rsidRPr="00B00B16" w:rsidRDefault="00B00B16" w:rsidP="00133665">
      <w:pPr>
        <w:jc w:val="both"/>
        <w:rPr>
          <w:rFonts w:eastAsia="Times New Roman" w:cs="Helvetica"/>
          <w:color w:val="0E0E0E"/>
        </w:rPr>
      </w:pPr>
      <w:r w:rsidRPr="00B00B16">
        <w:rPr>
          <w:b/>
        </w:rPr>
        <w:t>2.</w:t>
      </w:r>
      <w:r w:rsidRPr="00B00B16">
        <w:t xml:space="preserve"> </w:t>
      </w:r>
      <w:r w:rsidRPr="00B00B16">
        <w:rPr>
          <w:rFonts w:eastAsia="Times New Roman" w:cs="Helvetica"/>
          <w:bCs/>
          <w:color w:val="0E0E0E"/>
        </w:rPr>
        <w:t>NICE Guidance. Moderate to severe acute post</w:t>
      </w:r>
      <w:r w:rsidRPr="00B00B16">
        <w:rPr>
          <w:rFonts w:eastAsia="Times New Roman" w:cs="Helvetica"/>
          <w:bCs/>
          <w:color w:val="0E0E0E"/>
        </w:rPr>
        <w:softHyphen/>
        <w:t xml:space="preserve">-operative pain: </w:t>
      </w:r>
      <w:proofErr w:type="spellStart"/>
      <w:r w:rsidRPr="00B00B16">
        <w:rPr>
          <w:rFonts w:eastAsia="Times New Roman" w:cs="Helvetica"/>
          <w:bCs/>
          <w:color w:val="0E0E0E"/>
        </w:rPr>
        <w:t>sufentanil</w:t>
      </w:r>
      <w:proofErr w:type="spellEnd"/>
      <w:r w:rsidRPr="00B00B16">
        <w:rPr>
          <w:rFonts w:eastAsia="Times New Roman" w:cs="Helvetica"/>
          <w:bCs/>
          <w:color w:val="0E0E0E"/>
        </w:rPr>
        <w:t xml:space="preserve"> sublingual tablet system. </w:t>
      </w:r>
      <w:r w:rsidRPr="00B00B16">
        <w:rPr>
          <w:rStyle w:val="prod-title"/>
          <w:rFonts w:eastAsia="Times New Roman" w:cs="Helvetica"/>
          <w:bCs/>
          <w:color w:val="0E0E0E"/>
        </w:rPr>
        <w:t>Evidence summary [ESNM71]</w:t>
      </w:r>
      <w:r w:rsidRPr="00B00B16">
        <w:rPr>
          <w:rFonts w:eastAsia="Times New Roman" w:cs="Helvetica"/>
          <w:bCs/>
          <w:color w:val="0E0E0E"/>
        </w:rPr>
        <w:t> </w:t>
      </w:r>
      <w:r w:rsidRPr="00B00B16">
        <w:rPr>
          <w:rStyle w:val="published-date"/>
          <w:rFonts w:eastAsia="Times New Roman" w:cs="Helvetica"/>
          <w:bCs/>
          <w:color w:val="0E0E0E"/>
        </w:rPr>
        <w:t>Published March 2016</w:t>
      </w:r>
    </w:p>
    <w:p w14:paraId="13D96F87" w14:textId="4A666DD7" w:rsidR="00B00B16" w:rsidRPr="00B00B16" w:rsidRDefault="00B00B16" w:rsidP="00133665">
      <w:pPr>
        <w:jc w:val="both"/>
        <w:rPr>
          <w:rFonts w:eastAsia="Times New Roman" w:cs="Times New Roman"/>
        </w:rPr>
      </w:pPr>
      <w:r w:rsidRPr="00B00B16">
        <w:rPr>
          <w:rStyle w:val="published-date"/>
          <w:rFonts w:eastAsia="Times New Roman"/>
        </w:rPr>
        <w:t>https://www.nice.org.uk/advice/esnm71/chapter/Full-evidence-summary</w:t>
      </w:r>
    </w:p>
    <w:p w14:paraId="5262271A" w14:textId="6827F667" w:rsidR="00B31266" w:rsidRPr="00B00B16" w:rsidRDefault="00B31266" w:rsidP="00B00B16"/>
    <w:p w14:paraId="1A830290" w14:textId="77777777" w:rsidR="00B31266" w:rsidRPr="00B00B16" w:rsidRDefault="00B31266" w:rsidP="00B00B16"/>
    <w:p w14:paraId="2F061A4B" w14:textId="77777777" w:rsidR="00B31266" w:rsidRPr="00B00B16" w:rsidRDefault="00B31266" w:rsidP="00B00B16"/>
    <w:p w14:paraId="182B69C5" w14:textId="77777777" w:rsidR="00B31266" w:rsidRPr="00B00B16" w:rsidRDefault="00B31266" w:rsidP="00B00B16"/>
    <w:p w14:paraId="548558B9" w14:textId="77777777" w:rsidR="00B31266" w:rsidRDefault="00B31266" w:rsidP="00B00B16"/>
    <w:p w14:paraId="1AA986DA" w14:textId="77777777" w:rsidR="00B31266" w:rsidRDefault="00B31266" w:rsidP="00B00B16"/>
    <w:p w14:paraId="74A72445" w14:textId="77777777" w:rsidR="00B31266" w:rsidRDefault="00B31266" w:rsidP="00B00B16"/>
    <w:p w14:paraId="4B276B6B" w14:textId="77777777" w:rsidR="00B31266" w:rsidRDefault="00B31266"/>
    <w:p w14:paraId="3E031CB3" w14:textId="77777777" w:rsidR="0069640A" w:rsidRDefault="0069640A"/>
    <w:p w14:paraId="1870D56C" w14:textId="77777777" w:rsidR="0069640A" w:rsidRDefault="0069640A"/>
    <w:p w14:paraId="3BB85445" w14:textId="77777777" w:rsidR="0069640A" w:rsidRDefault="0069640A"/>
    <w:p w14:paraId="2985B236" w14:textId="77777777" w:rsidR="0069640A" w:rsidRDefault="0069640A"/>
    <w:p w14:paraId="09127E9D" w14:textId="77777777" w:rsidR="0069640A" w:rsidRDefault="0069640A"/>
    <w:p w14:paraId="258FFAF8" w14:textId="77777777" w:rsidR="0069640A" w:rsidRDefault="0069640A"/>
    <w:p w14:paraId="1F9BBCD6" w14:textId="77777777" w:rsidR="0069640A" w:rsidRDefault="0069640A"/>
    <w:p w14:paraId="34A80ED2" w14:textId="77777777" w:rsidR="0069640A" w:rsidRDefault="0069640A"/>
    <w:p w14:paraId="2E4D6728" w14:textId="77777777" w:rsidR="0069640A" w:rsidRDefault="0069640A"/>
    <w:p w14:paraId="6A7B2D57" w14:textId="77777777" w:rsidR="0069640A" w:rsidRDefault="0069640A"/>
    <w:p w14:paraId="12874B35" w14:textId="77777777" w:rsidR="0069640A" w:rsidRDefault="0069640A"/>
    <w:p w14:paraId="4250C78E" w14:textId="77777777" w:rsidR="00B31266" w:rsidRDefault="00B31266"/>
    <w:p w14:paraId="30046AB4" w14:textId="77777777" w:rsidR="00B31266" w:rsidRDefault="00B31266"/>
    <w:p w14:paraId="347E463F" w14:textId="77777777" w:rsidR="00B31266" w:rsidRDefault="00B31266"/>
    <w:p w14:paraId="7FD53BF3" w14:textId="22DFE8D0" w:rsidR="00B31266" w:rsidRDefault="00B31266">
      <w:r>
        <w:lastRenderedPageBreak/>
        <w:t>Presenting author:</w:t>
      </w:r>
    </w:p>
    <w:p w14:paraId="3269E0C0" w14:textId="4871F6AC" w:rsidR="00B31266" w:rsidRDefault="00B31266">
      <w:r>
        <w:t>Vanessa Nesbitt</w:t>
      </w:r>
    </w:p>
    <w:p w14:paraId="02F33CD9" w14:textId="2DAF6605" w:rsidR="00B31266" w:rsidRDefault="00133665">
      <w:hyperlink r:id="rId7" w:history="1">
        <w:r w:rsidR="00B31266" w:rsidRPr="009B3551">
          <w:rPr>
            <w:rStyle w:val="Hyperlink"/>
          </w:rPr>
          <w:t>vanessa.nesbitt@ghnt.nhs.uk</w:t>
        </w:r>
      </w:hyperlink>
    </w:p>
    <w:p w14:paraId="469D7B78" w14:textId="550F671D" w:rsidR="00B31266" w:rsidRDefault="00B31266">
      <w:r>
        <w:t>07967406629</w:t>
      </w:r>
    </w:p>
    <w:p w14:paraId="6B59A3F8" w14:textId="7F3D5545" w:rsidR="00B31266" w:rsidRDefault="00B31266">
      <w:r>
        <w:t>01914820000 (bleep 3177)</w:t>
      </w:r>
    </w:p>
    <w:p w14:paraId="407EA1BB" w14:textId="7E11A73E" w:rsidR="00B31266" w:rsidRDefault="00B31266">
      <w:r>
        <w:t xml:space="preserve">Consultant </w:t>
      </w:r>
      <w:proofErr w:type="spellStart"/>
      <w:r>
        <w:t>Anaesthetist</w:t>
      </w:r>
      <w:proofErr w:type="spellEnd"/>
    </w:p>
    <w:p w14:paraId="4AF397C1" w14:textId="5EA6CF6A" w:rsidR="00B31266" w:rsidRDefault="00B31266">
      <w:proofErr w:type="spellStart"/>
      <w:r>
        <w:t>Gateshead</w:t>
      </w:r>
      <w:proofErr w:type="spellEnd"/>
      <w:r>
        <w:t xml:space="preserve"> NHS Foundation Trust</w:t>
      </w:r>
    </w:p>
    <w:p w14:paraId="0649F774" w14:textId="264E60AE" w:rsidR="00B31266" w:rsidRDefault="00B31266">
      <w:r>
        <w:t>Queen Elizabeth Hospital</w:t>
      </w:r>
    </w:p>
    <w:p w14:paraId="670BD528" w14:textId="4D077DC0" w:rsidR="00B31266" w:rsidRDefault="00B31266">
      <w:r>
        <w:t>Queen Elizabeth Avenue</w:t>
      </w:r>
    </w:p>
    <w:p w14:paraId="4BFD3C84" w14:textId="6EC3BAF8" w:rsidR="00B31266" w:rsidRDefault="00B31266">
      <w:proofErr w:type="spellStart"/>
      <w:r>
        <w:t>Gateshead</w:t>
      </w:r>
      <w:proofErr w:type="spellEnd"/>
    </w:p>
    <w:p w14:paraId="2B44D01A" w14:textId="09F038E2" w:rsidR="00B31266" w:rsidRDefault="00B31266">
      <w:r>
        <w:t>Tyne and Wear</w:t>
      </w:r>
    </w:p>
    <w:p w14:paraId="33701ADF" w14:textId="65E8B3C1" w:rsidR="00B31266" w:rsidRDefault="00B31266">
      <w:r>
        <w:t>NE9 6SX</w:t>
      </w:r>
    </w:p>
    <w:p w14:paraId="27DFBB72" w14:textId="77777777" w:rsidR="00B31266" w:rsidRDefault="00B31266"/>
    <w:p w14:paraId="4D26BBC9" w14:textId="6652B8D7" w:rsidR="00B31266" w:rsidRDefault="00B31266">
      <w:r>
        <w:t>Co-author</w:t>
      </w:r>
      <w:r w:rsidR="0069640A">
        <w:t>:</w:t>
      </w:r>
    </w:p>
    <w:p w14:paraId="61FEF0C6" w14:textId="5818EB06" w:rsidR="00B31266" w:rsidRDefault="00B31266">
      <w:r>
        <w:t>Julie Oz</w:t>
      </w:r>
    </w:p>
    <w:p w14:paraId="04053D9A" w14:textId="1BAF784E" w:rsidR="00B31266" w:rsidRDefault="00B31266">
      <w:r>
        <w:t>Inpatient Pain Specialist Nurse</w:t>
      </w:r>
    </w:p>
    <w:p w14:paraId="05DB4BC3" w14:textId="61897967" w:rsidR="00B31266" w:rsidRDefault="0069640A">
      <w:proofErr w:type="gramStart"/>
      <w:r>
        <w:t>j</w:t>
      </w:r>
      <w:r w:rsidR="00B31266">
        <w:t>ulie.oz@ghnt.nhs.uk</w:t>
      </w:r>
      <w:proofErr w:type="gramEnd"/>
    </w:p>
    <w:p w14:paraId="18267C65" w14:textId="7E044BC2" w:rsidR="00B31266" w:rsidRDefault="00B31266" w:rsidP="00B31266">
      <w:r>
        <w:t>01914820000 (bleep 2326)</w:t>
      </w:r>
    </w:p>
    <w:p w14:paraId="0464553B" w14:textId="3417B57C" w:rsidR="00B31266" w:rsidRDefault="00B31266">
      <w:r>
        <w:t>07528102100</w:t>
      </w:r>
    </w:p>
    <w:p w14:paraId="63F2D3C9" w14:textId="77777777" w:rsidR="00B31266" w:rsidRDefault="00B31266" w:rsidP="00B31266">
      <w:proofErr w:type="spellStart"/>
      <w:r>
        <w:t>Gateshead</w:t>
      </w:r>
      <w:proofErr w:type="spellEnd"/>
      <w:r>
        <w:t xml:space="preserve"> NHS Foundation Trust</w:t>
      </w:r>
    </w:p>
    <w:p w14:paraId="75B39F8E" w14:textId="77777777" w:rsidR="00B31266" w:rsidRDefault="00B31266" w:rsidP="00B31266">
      <w:r>
        <w:t>Queen Elizabeth Hospital</w:t>
      </w:r>
    </w:p>
    <w:p w14:paraId="06FD0D1D" w14:textId="77777777" w:rsidR="00B31266" w:rsidRDefault="00B31266" w:rsidP="00B31266">
      <w:r>
        <w:t>Queen Elizabeth Avenue</w:t>
      </w:r>
    </w:p>
    <w:p w14:paraId="34ECD532" w14:textId="77777777" w:rsidR="00B31266" w:rsidRDefault="00B31266" w:rsidP="00B31266">
      <w:proofErr w:type="spellStart"/>
      <w:r>
        <w:t>Gateshead</w:t>
      </w:r>
      <w:proofErr w:type="spellEnd"/>
    </w:p>
    <w:p w14:paraId="7CBBB9D3" w14:textId="77777777" w:rsidR="00B31266" w:rsidRDefault="00B31266" w:rsidP="00B31266">
      <w:r>
        <w:t>Tyne and Wear</w:t>
      </w:r>
    </w:p>
    <w:p w14:paraId="48D4CB9D" w14:textId="77777777" w:rsidR="00B31266" w:rsidRDefault="00B31266" w:rsidP="00B31266">
      <w:r>
        <w:t>NE9 6SX</w:t>
      </w:r>
    </w:p>
    <w:p w14:paraId="7D4F3D62" w14:textId="77777777" w:rsidR="00B31266" w:rsidRDefault="00B31266"/>
    <w:p w14:paraId="3CE98E7B" w14:textId="77777777" w:rsidR="00B31266" w:rsidRDefault="00B31266"/>
    <w:p w14:paraId="4EFD3A38" w14:textId="77777777" w:rsidR="00B31266" w:rsidRDefault="00B31266"/>
    <w:p w14:paraId="40701124" w14:textId="77777777" w:rsidR="00B31266" w:rsidRDefault="00B31266"/>
    <w:sectPr w:rsidR="00B31266" w:rsidSect="00912766">
      <w:pgSz w:w="11900" w:h="16820"/>
      <w:pgMar w:top="1134" w:right="1134" w:bottom="1134" w:left="226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2DDA"/>
    <w:multiLevelType w:val="hybridMultilevel"/>
    <w:tmpl w:val="A6A2121E"/>
    <w:lvl w:ilvl="0" w:tplc="5B566C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CC4C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6270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0E64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F3ECB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269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606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86A39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71C9C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45546F5B"/>
    <w:multiLevelType w:val="hybridMultilevel"/>
    <w:tmpl w:val="7612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A5A29"/>
    <w:multiLevelType w:val="hybridMultilevel"/>
    <w:tmpl w:val="4FF839B6"/>
    <w:lvl w:ilvl="0" w:tplc="83DAC2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7636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BC9F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1E31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712A7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8C677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DCC0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D28F3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D851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52293C0C"/>
    <w:multiLevelType w:val="hybridMultilevel"/>
    <w:tmpl w:val="9160999C"/>
    <w:lvl w:ilvl="0" w:tplc="C5C82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2A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4C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44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62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E4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AE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C2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24211F"/>
    <w:multiLevelType w:val="hybridMultilevel"/>
    <w:tmpl w:val="B6847EDE"/>
    <w:lvl w:ilvl="0" w:tplc="868C4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2C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E2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CC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C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2B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E1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0A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4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C13318"/>
    <w:multiLevelType w:val="hybridMultilevel"/>
    <w:tmpl w:val="D698176C"/>
    <w:lvl w:ilvl="0" w:tplc="038C8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AF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4E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2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E8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E09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AB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AC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A6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0A55DE"/>
    <w:multiLevelType w:val="hybridMultilevel"/>
    <w:tmpl w:val="EE62B7A0"/>
    <w:lvl w:ilvl="0" w:tplc="2A989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18C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80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04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FE6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4F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E6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45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D465CD"/>
    <w:multiLevelType w:val="hybridMultilevel"/>
    <w:tmpl w:val="6DE6756C"/>
    <w:lvl w:ilvl="0" w:tplc="2E3C3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82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2E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C8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21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A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E6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4F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6F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50"/>
    <w:rsid w:val="000114C0"/>
    <w:rsid w:val="000A0B50"/>
    <w:rsid w:val="00133665"/>
    <w:rsid w:val="001344ED"/>
    <w:rsid w:val="001C7F58"/>
    <w:rsid w:val="00211CAB"/>
    <w:rsid w:val="00264137"/>
    <w:rsid w:val="002E6AE3"/>
    <w:rsid w:val="004A5DB4"/>
    <w:rsid w:val="004C2C6B"/>
    <w:rsid w:val="004D326D"/>
    <w:rsid w:val="00583710"/>
    <w:rsid w:val="005A22E7"/>
    <w:rsid w:val="005B4DF2"/>
    <w:rsid w:val="006032A6"/>
    <w:rsid w:val="00605C33"/>
    <w:rsid w:val="00666B4C"/>
    <w:rsid w:val="0069640A"/>
    <w:rsid w:val="006A4B9A"/>
    <w:rsid w:val="006E5D25"/>
    <w:rsid w:val="007B71E1"/>
    <w:rsid w:val="007C7EC5"/>
    <w:rsid w:val="008675B3"/>
    <w:rsid w:val="00877FCC"/>
    <w:rsid w:val="00912766"/>
    <w:rsid w:val="009201D1"/>
    <w:rsid w:val="00963778"/>
    <w:rsid w:val="00B00B16"/>
    <w:rsid w:val="00B31266"/>
    <w:rsid w:val="00B50A99"/>
    <w:rsid w:val="00C65CE8"/>
    <w:rsid w:val="00C93D4E"/>
    <w:rsid w:val="00D34588"/>
    <w:rsid w:val="00DE486D"/>
    <w:rsid w:val="00EA4085"/>
    <w:rsid w:val="00EB1876"/>
    <w:rsid w:val="00F318A6"/>
    <w:rsid w:val="00F542B5"/>
    <w:rsid w:val="00FB43A1"/>
    <w:rsid w:val="00FD58DA"/>
    <w:rsid w:val="00FE50DC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3A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0B16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2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266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DE48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877FCC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0B16"/>
    <w:rPr>
      <w:rFonts w:ascii="Times New Roman" w:eastAsiaTheme="minorHAnsi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prod-title">
    <w:name w:val="prod-title"/>
    <w:basedOn w:val="DefaultParagraphFont"/>
    <w:rsid w:val="00B00B16"/>
  </w:style>
  <w:style w:type="character" w:customStyle="1" w:styleId="published-date">
    <w:name w:val="published-date"/>
    <w:basedOn w:val="DefaultParagraphFont"/>
    <w:rsid w:val="00B00B16"/>
  </w:style>
  <w:style w:type="paragraph" w:styleId="NoSpacing">
    <w:name w:val="No Spacing"/>
    <w:uiPriority w:val="1"/>
    <w:qFormat/>
    <w:rsid w:val="00B00B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0B16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D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2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266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DE48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877FCC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0B16"/>
    <w:rPr>
      <w:rFonts w:ascii="Times New Roman" w:eastAsiaTheme="minorHAnsi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prod-title">
    <w:name w:val="prod-title"/>
    <w:basedOn w:val="DefaultParagraphFont"/>
    <w:rsid w:val="00B00B16"/>
  </w:style>
  <w:style w:type="character" w:customStyle="1" w:styleId="published-date">
    <w:name w:val="published-date"/>
    <w:basedOn w:val="DefaultParagraphFont"/>
    <w:rsid w:val="00B00B16"/>
  </w:style>
  <w:style w:type="paragraph" w:styleId="NoSpacing">
    <w:name w:val="No Spacing"/>
    <w:uiPriority w:val="1"/>
    <w:qFormat/>
    <w:rsid w:val="00B0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4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0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2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6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4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4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4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2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3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1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vanessa.nesbitt@ghnt.nhs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BDFD-09D3-974E-9030-08E18300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707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Nezzy &amp; Co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nesbitt</dc:creator>
  <cp:lastModifiedBy>vanessa nesbitt</cp:lastModifiedBy>
  <cp:revision>7</cp:revision>
  <dcterms:created xsi:type="dcterms:W3CDTF">2017-06-25T21:41:00Z</dcterms:created>
  <dcterms:modified xsi:type="dcterms:W3CDTF">2017-06-25T21:48:00Z</dcterms:modified>
</cp:coreProperties>
</file>