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30" w:rsidRDefault="00951C30" w:rsidP="00951C30">
      <w:pPr>
        <w:rPr>
          <w:sz w:val="28"/>
          <w:szCs w:val="28"/>
          <w:u w:val="single"/>
        </w:rPr>
      </w:pPr>
      <w:r w:rsidRPr="00951C30">
        <w:rPr>
          <w:sz w:val="28"/>
          <w:szCs w:val="28"/>
          <w:u w:val="single"/>
        </w:rPr>
        <w:t>Authors’</w:t>
      </w:r>
    </w:p>
    <w:p w:rsidR="00951C30" w:rsidRDefault="00951C30" w:rsidP="00951C30">
      <w:pPr>
        <w:rPr>
          <w:sz w:val="28"/>
          <w:szCs w:val="28"/>
        </w:rPr>
      </w:pPr>
      <w:r>
        <w:rPr>
          <w:sz w:val="28"/>
          <w:szCs w:val="28"/>
        </w:rPr>
        <w:t>Martin Damien Howarth</w:t>
      </w:r>
    </w:p>
    <w:p w:rsidR="00951C30" w:rsidRDefault="00951C30" w:rsidP="00951C30">
      <w:pPr>
        <w:rPr>
          <w:sz w:val="28"/>
          <w:szCs w:val="28"/>
        </w:rPr>
      </w:pPr>
      <w:r>
        <w:rPr>
          <w:sz w:val="28"/>
          <w:szCs w:val="28"/>
        </w:rPr>
        <w:t>Pain Specialist Nurse</w:t>
      </w:r>
    </w:p>
    <w:p w:rsidR="00951C30" w:rsidRDefault="005C01FF" w:rsidP="00951C30">
      <w:pPr>
        <w:rPr>
          <w:sz w:val="28"/>
          <w:szCs w:val="28"/>
        </w:rPr>
      </w:pPr>
      <w:hyperlink r:id="rId9" w:history="1">
        <w:r w:rsidR="00951C30" w:rsidRPr="00177BCA">
          <w:rPr>
            <w:rStyle w:val="Hyperlink"/>
            <w:sz w:val="28"/>
            <w:szCs w:val="28"/>
          </w:rPr>
          <w:t>Martin.howarth@srft.nhs.uk</w:t>
        </w:r>
      </w:hyperlink>
    </w:p>
    <w:p w:rsidR="001F248B" w:rsidRDefault="001F248B" w:rsidP="00951C30">
      <w:pPr>
        <w:rPr>
          <w:sz w:val="28"/>
          <w:szCs w:val="28"/>
        </w:rPr>
      </w:pPr>
      <w:r>
        <w:rPr>
          <w:sz w:val="28"/>
          <w:szCs w:val="28"/>
        </w:rPr>
        <w:t>Manchester &amp; Salford Pain Centre</w:t>
      </w:r>
    </w:p>
    <w:p w:rsidR="001F248B" w:rsidRDefault="001F248B" w:rsidP="00951C30">
      <w:pPr>
        <w:rPr>
          <w:sz w:val="28"/>
          <w:szCs w:val="28"/>
        </w:rPr>
      </w:pPr>
      <w:r>
        <w:rPr>
          <w:sz w:val="28"/>
          <w:szCs w:val="28"/>
        </w:rPr>
        <w:t>01612064169</w:t>
      </w:r>
    </w:p>
    <w:p w:rsidR="001F248B" w:rsidRDefault="001F248B" w:rsidP="00951C30">
      <w:pPr>
        <w:rPr>
          <w:sz w:val="28"/>
          <w:szCs w:val="28"/>
        </w:rPr>
      </w:pPr>
      <w:r>
        <w:rPr>
          <w:sz w:val="28"/>
          <w:szCs w:val="28"/>
        </w:rPr>
        <w:t>07792461948</w:t>
      </w:r>
    </w:p>
    <w:p w:rsidR="00951C30" w:rsidRDefault="00951C30" w:rsidP="00951C30">
      <w:pPr>
        <w:rPr>
          <w:sz w:val="28"/>
          <w:szCs w:val="28"/>
        </w:rPr>
      </w:pPr>
      <w:r>
        <w:rPr>
          <w:sz w:val="28"/>
          <w:szCs w:val="28"/>
        </w:rPr>
        <w:t>Salford Royal Hospital</w:t>
      </w:r>
    </w:p>
    <w:p w:rsidR="00951C30" w:rsidRDefault="00951C30" w:rsidP="00951C30">
      <w:pPr>
        <w:rPr>
          <w:sz w:val="28"/>
          <w:szCs w:val="28"/>
        </w:rPr>
      </w:pPr>
      <w:r>
        <w:rPr>
          <w:sz w:val="28"/>
          <w:szCs w:val="28"/>
        </w:rPr>
        <w:t>Northern Care Alliance NHS Group</w:t>
      </w:r>
    </w:p>
    <w:p w:rsidR="001F248B" w:rsidRDefault="001F248B" w:rsidP="001F248B">
      <w:pPr>
        <w:rPr>
          <w:sz w:val="28"/>
          <w:szCs w:val="28"/>
        </w:rPr>
      </w:pPr>
      <w:r>
        <w:rPr>
          <w:sz w:val="28"/>
          <w:szCs w:val="28"/>
        </w:rPr>
        <w:t>Greater Manchester</w:t>
      </w:r>
    </w:p>
    <w:p w:rsidR="001F248B" w:rsidRDefault="001F248B" w:rsidP="001F248B">
      <w:pPr>
        <w:rPr>
          <w:sz w:val="28"/>
          <w:szCs w:val="28"/>
        </w:rPr>
      </w:pPr>
      <w:r>
        <w:rPr>
          <w:sz w:val="28"/>
          <w:szCs w:val="28"/>
        </w:rPr>
        <w:t>United Kingdom</w:t>
      </w:r>
    </w:p>
    <w:p w:rsidR="001F248B" w:rsidRDefault="001F248B" w:rsidP="00951C30">
      <w:pPr>
        <w:rPr>
          <w:sz w:val="28"/>
          <w:szCs w:val="28"/>
        </w:rPr>
      </w:pPr>
    </w:p>
    <w:p w:rsidR="001F248B" w:rsidRDefault="001F248B" w:rsidP="00951C30">
      <w:pPr>
        <w:rPr>
          <w:sz w:val="28"/>
          <w:szCs w:val="28"/>
        </w:rPr>
      </w:pPr>
    </w:p>
    <w:p w:rsidR="00C040C0" w:rsidRDefault="00C040C0" w:rsidP="00951C30">
      <w:pPr>
        <w:rPr>
          <w:sz w:val="28"/>
          <w:szCs w:val="28"/>
        </w:rPr>
      </w:pPr>
    </w:p>
    <w:p w:rsidR="00951C30" w:rsidRDefault="00C040C0" w:rsidP="00951C30">
      <w:pPr>
        <w:rPr>
          <w:sz w:val="28"/>
          <w:szCs w:val="28"/>
        </w:rPr>
      </w:pPr>
      <w:r>
        <w:rPr>
          <w:sz w:val="28"/>
          <w:szCs w:val="28"/>
        </w:rPr>
        <w:t>Michael James Hollinshead</w:t>
      </w:r>
    </w:p>
    <w:p w:rsidR="00951C30" w:rsidRDefault="005C01FF" w:rsidP="00951C30">
      <w:pPr>
        <w:rPr>
          <w:sz w:val="28"/>
          <w:szCs w:val="28"/>
        </w:rPr>
      </w:pPr>
      <w:hyperlink r:id="rId10" w:history="1">
        <w:r w:rsidR="00951C30" w:rsidRPr="00177BCA">
          <w:rPr>
            <w:rStyle w:val="Hyperlink"/>
            <w:sz w:val="28"/>
            <w:szCs w:val="28"/>
          </w:rPr>
          <w:t>Mike.hollinshead@srft.nhs.uk</w:t>
        </w:r>
      </w:hyperlink>
      <w:r w:rsidR="00951C30">
        <w:rPr>
          <w:sz w:val="28"/>
          <w:szCs w:val="28"/>
        </w:rPr>
        <w:t xml:space="preserve"> </w:t>
      </w:r>
    </w:p>
    <w:p w:rsidR="00951C30" w:rsidRDefault="00951C30" w:rsidP="00951C30">
      <w:pPr>
        <w:rPr>
          <w:sz w:val="28"/>
          <w:szCs w:val="28"/>
        </w:rPr>
      </w:pPr>
      <w:r>
        <w:rPr>
          <w:sz w:val="28"/>
          <w:szCs w:val="28"/>
        </w:rPr>
        <w:t>Practice Education Facilitator</w:t>
      </w:r>
    </w:p>
    <w:p w:rsidR="00951C30" w:rsidRDefault="00951C30" w:rsidP="00951C30">
      <w:pPr>
        <w:rPr>
          <w:sz w:val="28"/>
          <w:szCs w:val="28"/>
        </w:rPr>
      </w:pPr>
      <w:r>
        <w:rPr>
          <w:sz w:val="28"/>
          <w:szCs w:val="28"/>
        </w:rPr>
        <w:t xml:space="preserve">Learning and Organisational Development </w:t>
      </w:r>
    </w:p>
    <w:p w:rsidR="00C040C0" w:rsidRDefault="00C040C0" w:rsidP="00C040C0">
      <w:pPr>
        <w:rPr>
          <w:sz w:val="28"/>
          <w:szCs w:val="28"/>
        </w:rPr>
      </w:pPr>
      <w:r>
        <w:rPr>
          <w:sz w:val="28"/>
          <w:szCs w:val="28"/>
        </w:rPr>
        <w:t>Salford Royal Hospital</w:t>
      </w:r>
    </w:p>
    <w:p w:rsidR="00C040C0" w:rsidRDefault="00C040C0" w:rsidP="00C040C0">
      <w:pPr>
        <w:rPr>
          <w:sz w:val="28"/>
          <w:szCs w:val="28"/>
        </w:rPr>
      </w:pPr>
      <w:r>
        <w:rPr>
          <w:sz w:val="28"/>
          <w:szCs w:val="28"/>
        </w:rPr>
        <w:t>Northern Care Alliance NHS Group</w:t>
      </w:r>
    </w:p>
    <w:p w:rsidR="001F248B" w:rsidRDefault="001F248B" w:rsidP="00C040C0">
      <w:pPr>
        <w:rPr>
          <w:sz w:val="28"/>
          <w:szCs w:val="28"/>
        </w:rPr>
      </w:pPr>
      <w:r>
        <w:rPr>
          <w:sz w:val="28"/>
          <w:szCs w:val="28"/>
        </w:rPr>
        <w:t>Greater Manchester</w:t>
      </w:r>
    </w:p>
    <w:p w:rsidR="001F248B" w:rsidRDefault="001F248B" w:rsidP="00C040C0">
      <w:pPr>
        <w:rPr>
          <w:sz w:val="28"/>
          <w:szCs w:val="28"/>
        </w:rPr>
      </w:pPr>
      <w:r>
        <w:rPr>
          <w:sz w:val="28"/>
          <w:szCs w:val="28"/>
        </w:rPr>
        <w:t>United Kingdom</w:t>
      </w:r>
    </w:p>
    <w:p w:rsidR="00C040C0" w:rsidRPr="00951C30" w:rsidRDefault="00C040C0" w:rsidP="00951C30">
      <w:pPr>
        <w:rPr>
          <w:sz w:val="28"/>
          <w:szCs w:val="28"/>
        </w:rPr>
      </w:pPr>
    </w:p>
    <w:p w:rsidR="00951C30" w:rsidRDefault="00951C3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56A4" w:rsidRPr="00506725" w:rsidRDefault="00012048" w:rsidP="002E56A4">
      <w:pPr>
        <w:jc w:val="center"/>
        <w:rPr>
          <w:sz w:val="28"/>
          <w:szCs w:val="28"/>
        </w:rPr>
      </w:pPr>
      <w:r w:rsidRPr="00506725">
        <w:rPr>
          <w:sz w:val="28"/>
          <w:szCs w:val="28"/>
        </w:rPr>
        <w:lastRenderedPageBreak/>
        <w:t>Pain</w:t>
      </w:r>
      <w:r w:rsidR="00BA5695" w:rsidRPr="00506725">
        <w:rPr>
          <w:sz w:val="28"/>
          <w:szCs w:val="28"/>
        </w:rPr>
        <w:t xml:space="preserve"> Teams Are </w:t>
      </w:r>
      <w:r w:rsidR="002E56A4" w:rsidRPr="00506725">
        <w:rPr>
          <w:sz w:val="28"/>
          <w:szCs w:val="28"/>
        </w:rPr>
        <w:t>in</w:t>
      </w:r>
      <w:r w:rsidR="00BA5695" w:rsidRPr="00506725">
        <w:rPr>
          <w:sz w:val="28"/>
          <w:szCs w:val="28"/>
        </w:rPr>
        <w:t xml:space="preserve"> a Unique Position to Provide </w:t>
      </w:r>
      <w:r w:rsidR="002E56A4" w:rsidRPr="00506725">
        <w:rPr>
          <w:sz w:val="28"/>
          <w:szCs w:val="28"/>
        </w:rPr>
        <w:t>Exceptional</w:t>
      </w:r>
      <w:r w:rsidR="002E56A4">
        <w:rPr>
          <w:sz w:val="28"/>
          <w:szCs w:val="28"/>
        </w:rPr>
        <w:t xml:space="preserve"> </w:t>
      </w:r>
      <w:r w:rsidR="002E56A4" w:rsidRPr="00506725">
        <w:rPr>
          <w:sz w:val="28"/>
          <w:szCs w:val="28"/>
        </w:rPr>
        <w:t xml:space="preserve">Pain </w:t>
      </w:r>
      <w:r w:rsidR="002E56A4">
        <w:rPr>
          <w:sz w:val="28"/>
          <w:szCs w:val="28"/>
        </w:rPr>
        <w:t xml:space="preserve">Management </w:t>
      </w:r>
      <w:r w:rsidR="002E56A4" w:rsidRPr="00506725">
        <w:rPr>
          <w:sz w:val="28"/>
          <w:szCs w:val="28"/>
        </w:rPr>
        <w:t>Education</w:t>
      </w:r>
      <w:r w:rsidR="002E56A4">
        <w:rPr>
          <w:sz w:val="28"/>
          <w:szCs w:val="28"/>
        </w:rPr>
        <w:t xml:space="preserve"> for st</w:t>
      </w:r>
      <w:r w:rsidR="002E56A4" w:rsidRPr="00506725">
        <w:rPr>
          <w:sz w:val="28"/>
          <w:szCs w:val="28"/>
        </w:rPr>
        <w:t>udent Nurses</w:t>
      </w:r>
      <w:r w:rsidR="002E56A4">
        <w:rPr>
          <w:sz w:val="28"/>
          <w:szCs w:val="28"/>
        </w:rPr>
        <w:t xml:space="preserve"> </w:t>
      </w:r>
    </w:p>
    <w:p w:rsidR="00145D2A" w:rsidRDefault="00145D2A">
      <w:r>
        <w:t>Background</w:t>
      </w:r>
    </w:p>
    <w:p w:rsidR="003972E9" w:rsidRPr="003972E9" w:rsidRDefault="00C84CDE" w:rsidP="003972E9">
      <w:r>
        <w:t>Our</w:t>
      </w:r>
      <w:r w:rsidR="00B12AE7">
        <w:t xml:space="preserve"> pain specialist team </w:t>
      </w:r>
      <w:r w:rsidR="002E64B1">
        <w:t>recognises the</w:t>
      </w:r>
      <w:r w:rsidR="00B12AE7">
        <w:t xml:space="preserve"> importance of</w:t>
      </w:r>
      <w:r w:rsidR="00B12AE7" w:rsidRPr="003972E9">
        <w:t xml:space="preserve"> supporting </w:t>
      </w:r>
      <w:r w:rsidR="00B12AE7">
        <w:t>student nurse education</w:t>
      </w:r>
      <w:r w:rsidR="00A94032">
        <w:t xml:space="preserve"> i</w:t>
      </w:r>
      <w:r w:rsidR="00B12AE7">
        <w:t xml:space="preserve">n the clinical setting.  </w:t>
      </w:r>
      <w:r w:rsidR="00F82CDB" w:rsidRPr="00145D2A">
        <w:t xml:space="preserve">It </w:t>
      </w:r>
      <w:r w:rsidR="002E64B1">
        <w:t>is</w:t>
      </w:r>
      <w:r w:rsidR="00F82CDB" w:rsidRPr="00145D2A">
        <w:t xml:space="preserve"> recognised that pain education</w:t>
      </w:r>
      <w:r w:rsidR="00012048" w:rsidRPr="00145D2A">
        <w:t xml:space="preserve"> in nursing</w:t>
      </w:r>
      <w:r w:rsidR="00F82CDB" w:rsidRPr="00145D2A">
        <w:t xml:space="preserve"> has been neglected over many years (</w:t>
      </w:r>
      <w:proofErr w:type="spellStart"/>
      <w:r w:rsidR="00F82CDB" w:rsidRPr="00145D2A">
        <w:t>Twycross</w:t>
      </w:r>
      <w:proofErr w:type="spellEnd"/>
      <w:r w:rsidR="00F82CDB" w:rsidRPr="00145D2A">
        <w:t xml:space="preserve"> 2000)</w:t>
      </w:r>
      <w:r w:rsidR="00501FAA">
        <w:rPr>
          <w:vertAlign w:val="superscript"/>
        </w:rPr>
        <w:t>1</w:t>
      </w:r>
      <w:r w:rsidR="00F82CDB" w:rsidRPr="00145D2A">
        <w:t xml:space="preserve">. </w:t>
      </w:r>
      <w:r w:rsidR="003972E9">
        <w:t xml:space="preserve"> </w:t>
      </w:r>
      <w:r>
        <w:t>W</w:t>
      </w:r>
      <w:r w:rsidR="003972E9">
        <w:t>e wanted</w:t>
      </w:r>
      <w:r w:rsidR="00501FAA">
        <w:t xml:space="preserve"> to ensure that nursing students were</w:t>
      </w:r>
      <w:r w:rsidR="003972E9">
        <w:t xml:space="preserve"> exposed to “real life” patients with pain issues</w:t>
      </w:r>
      <w:r w:rsidR="00A94032">
        <w:t xml:space="preserve">. </w:t>
      </w:r>
      <w:r w:rsidR="003972E9">
        <w:t xml:space="preserve">  As an integrated pain management service providing inpatient and outpatient </w:t>
      </w:r>
      <w:r w:rsidR="003972E9" w:rsidRPr="003972E9">
        <w:t>care</w:t>
      </w:r>
      <w:r w:rsidR="003972E9">
        <w:t xml:space="preserve"> we were confident that we could provide an excellent </w:t>
      </w:r>
      <w:r w:rsidR="00A94032">
        <w:t xml:space="preserve">hub </w:t>
      </w:r>
      <w:r w:rsidR="004A32CF">
        <w:t>placement for</w:t>
      </w:r>
      <w:r w:rsidR="003972E9" w:rsidRPr="003972E9">
        <w:t xml:space="preserve"> our student nurses to develop knowledge and skills with pain assessment and management.  </w:t>
      </w:r>
    </w:p>
    <w:p w:rsidR="00145D2A" w:rsidRPr="004A32CF" w:rsidRDefault="00145D2A">
      <w:pPr>
        <w:rPr>
          <w:b/>
        </w:rPr>
      </w:pPr>
      <w:r w:rsidRPr="004A32CF">
        <w:rPr>
          <w:b/>
        </w:rPr>
        <w:t>Aims &amp; Objectives</w:t>
      </w:r>
    </w:p>
    <w:p w:rsidR="00145D2A" w:rsidRDefault="00145D2A">
      <w:r>
        <w:t>To inform and influences other Pain Specialist Teams about the benefits of becoming a Hub placement for student nurses.</w:t>
      </w:r>
    </w:p>
    <w:p w:rsidR="00145D2A" w:rsidRDefault="00145D2A" w:rsidP="00145D2A">
      <w:pPr>
        <w:pStyle w:val="ListParagraph"/>
        <w:numPr>
          <w:ilvl w:val="0"/>
          <w:numId w:val="1"/>
        </w:numPr>
      </w:pPr>
      <w:r>
        <w:t>To present</w:t>
      </w:r>
      <w:r w:rsidR="002E64B1">
        <w:t xml:space="preserve"> the dichotomy of spoke versus h</w:t>
      </w:r>
      <w:r>
        <w:t>ub placement</w:t>
      </w:r>
      <w:r w:rsidR="002E64B1">
        <w:t>.</w:t>
      </w:r>
    </w:p>
    <w:p w:rsidR="00145D2A" w:rsidRDefault="00145D2A" w:rsidP="00145D2A">
      <w:pPr>
        <w:pStyle w:val="ListParagraph"/>
        <w:numPr>
          <w:ilvl w:val="0"/>
          <w:numId w:val="1"/>
        </w:numPr>
      </w:pPr>
      <w:r>
        <w:t xml:space="preserve">To </w:t>
      </w:r>
      <w:r w:rsidR="00BA50C6">
        <w:t xml:space="preserve">recognise </w:t>
      </w:r>
      <w:r>
        <w:t xml:space="preserve">how </w:t>
      </w:r>
      <w:r w:rsidR="00582122">
        <w:t xml:space="preserve">a </w:t>
      </w:r>
      <w:r w:rsidR="002E64B1">
        <w:t>h</w:t>
      </w:r>
      <w:r>
        <w:t xml:space="preserve">ub </w:t>
      </w:r>
      <w:r w:rsidR="00582122">
        <w:t xml:space="preserve">placement can enrich a student’s knowledge and skills </w:t>
      </w:r>
      <w:r w:rsidR="002E64B1">
        <w:t>in</w:t>
      </w:r>
      <w:r w:rsidR="00582122">
        <w:t xml:space="preserve"> </w:t>
      </w:r>
      <w:r>
        <w:t>pain management.</w:t>
      </w:r>
    </w:p>
    <w:p w:rsidR="00BA50C6" w:rsidRDefault="00B16C45" w:rsidP="00BA50C6">
      <w:pPr>
        <w:pStyle w:val="ListParagraph"/>
        <w:numPr>
          <w:ilvl w:val="0"/>
          <w:numId w:val="1"/>
        </w:numPr>
      </w:pPr>
      <w:r>
        <w:t>D</w:t>
      </w:r>
      <w:r w:rsidR="00BA50C6">
        <w:t xml:space="preserve">emonstrate how this experience has influenced a student’s pain </w:t>
      </w:r>
      <w:r w:rsidR="00A03BBF">
        <w:t>management practice</w:t>
      </w:r>
      <w:r w:rsidR="00BA50C6">
        <w:t xml:space="preserve">               once qualified.</w:t>
      </w:r>
    </w:p>
    <w:p w:rsidR="00A03BBF" w:rsidRDefault="00A03BBF" w:rsidP="00BA50C6">
      <w:pPr>
        <w:pStyle w:val="ListParagraph"/>
        <w:numPr>
          <w:ilvl w:val="0"/>
          <w:numId w:val="1"/>
        </w:numPr>
      </w:pPr>
      <w:r>
        <w:t>Identify how pain management education is facilitated within the hub placement period.</w:t>
      </w:r>
    </w:p>
    <w:p w:rsidR="00A03BBF" w:rsidRDefault="00B12AE7" w:rsidP="00BA50C6">
      <w:pPr>
        <w:pStyle w:val="ListParagraph"/>
        <w:numPr>
          <w:ilvl w:val="0"/>
          <w:numId w:val="1"/>
        </w:numPr>
      </w:pPr>
      <w:r>
        <w:t>Acknowledge the importance of contingency planning.</w:t>
      </w:r>
    </w:p>
    <w:p w:rsidR="00BA50C6" w:rsidRPr="004A32CF" w:rsidRDefault="00145D2A">
      <w:pPr>
        <w:rPr>
          <w:b/>
        </w:rPr>
      </w:pPr>
      <w:r w:rsidRPr="004A32CF">
        <w:rPr>
          <w:b/>
        </w:rPr>
        <w:t xml:space="preserve"> Methods</w:t>
      </w:r>
      <w:r w:rsidR="004A32CF" w:rsidRPr="004A32CF">
        <w:rPr>
          <w:b/>
        </w:rPr>
        <w:t>:</w:t>
      </w:r>
    </w:p>
    <w:p w:rsidR="00A03BBF" w:rsidRDefault="004A32CF" w:rsidP="004A32CF">
      <w:pPr>
        <w:pStyle w:val="ListParagraph"/>
        <w:numPr>
          <w:ilvl w:val="0"/>
          <w:numId w:val="3"/>
        </w:numPr>
        <w:spacing w:after="0"/>
      </w:pPr>
      <w:r>
        <w:t>Undertake</w:t>
      </w:r>
      <w:r w:rsidR="00A03BBF">
        <w:t xml:space="preserve"> consultation with other pain </w:t>
      </w:r>
      <w:r w:rsidR="008C6BD0">
        <w:t>teams to</w:t>
      </w:r>
      <w:r w:rsidR="00A03BBF">
        <w:t xml:space="preserve"> establish their current pain educational strategy.</w:t>
      </w:r>
    </w:p>
    <w:p w:rsidR="00BA50C6" w:rsidRDefault="00BA50C6" w:rsidP="004A32CF">
      <w:pPr>
        <w:pStyle w:val="ListParagraph"/>
        <w:numPr>
          <w:ilvl w:val="0"/>
          <w:numId w:val="3"/>
        </w:numPr>
        <w:spacing w:after="0"/>
      </w:pPr>
      <w:r>
        <w:t xml:space="preserve">Undertake a </w:t>
      </w:r>
      <w:r w:rsidR="00A03BBF">
        <w:t>structured interview</w:t>
      </w:r>
      <w:r>
        <w:t xml:space="preserve"> of previous </w:t>
      </w:r>
      <w:r w:rsidR="00A03BBF">
        <w:t xml:space="preserve">pain team </w:t>
      </w:r>
      <w:r>
        <w:t>students who are now qualified.</w:t>
      </w:r>
    </w:p>
    <w:p w:rsidR="00B12AE7" w:rsidRDefault="00B12AE7" w:rsidP="004A32CF">
      <w:pPr>
        <w:pStyle w:val="ListParagraph"/>
        <w:numPr>
          <w:ilvl w:val="0"/>
          <w:numId w:val="3"/>
        </w:numPr>
        <w:spacing w:after="0"/>
      </w:pPr>
      <w:r>
        <w:t>Analyse and develop the learning environment.</w:t>
      </w:r>
    </w:p>
    <w:p w:rsidR="002E64B1" w:rsidRDefault="002E64B1">
      <w:pPr>
        <w:rPr>
          <w:b/>
        </w:rPr>
      </w:pPr>
    </w:p>
    <w:p w:rsidR="00145D2A" w:rsidRPr="004A32CF" w:rsidRDefault="00145D2A">
      <w:pPr>
        <w:rPr>
          <w:b/>
        </w:rPr>
      </w:pPr>
      <w:r w:rsidRPr="004A32CF">
        <w:rPr>
          <w:b/>
        </w:rPr>
        <w:t>Main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985"/>
      </w:tblGrid>
      <w:tr w:rsidR="004A32CF" w:rsidRPr="004A32CF" w:rsidTr="002E56A4">
        <w:tc>
          <w:tcPr>
            <w:tcW w:w="1384" w:type="dxa"/>
          </w:tcPr>
          <w:p w:rsidR="004A32CF" w:rsidRPr="004A32CF" w:rsidRDefault="004A32CF" w:rsidP="006275DD">
            <w:pPr>
              <w:rPr>
                <w:sz w:val="18"/>
                <w:szCs w:val="18"/>
              </w:rPr>
            </w:pPr>
            <w:r w:rsidRPr="004A32CF">
              <w:rPr>
                <w:sz w:val="18"/>
                <w:szCs w:val="18"/>
              </w:rPr>
              <w:t xml:space="preserve">Trust </w:t>
            </w:r>
          </w:p>
        </w:tc>
        <w:tc>
          <w:tcPr>
            <w:tcW w:w="2268" w:type="dxa"/>
          </w:tcPr>
          <w:p w:rsidR="004A32CF" w:rsidRPr="004A32CF" w:rsidRDefault="004A32CF" w:rsidP="004A32CF">
            <w:pPr>
              <w:rPr>
                <w:sz w:val="18"/>
                <w:szCs w:val="18"/>
              </w:rPr>
            </w:pPr>
            <w:r w:rsidRPr="004A32CF">
              <w:rPr>
                <w:sz w:val="18"/>
                <w:szCs w:val="18"/>
              </w:rPr>
              <w:t>Spoke Placement &lt;7.5hrs</w:t>
            </w:r>
          </w:p>
        </w:tc>
        <w:tc>
          <w:tcPr>
            <w:tcW w:w="2552" w:type="dxa"/>
          </w:tcPr>
          <w:p w:rsidR="004A32CF" w:rsidRPr="004A32CF" w:rsidRDefault="004A32CF" w:rsidP="004A32CF">
            <w:pPr>
              <w:rPr>
                <w:sz w:val="18"/>
                <w:szCs w:val="18"/>
              </w:rPr>
            </w:pPr>
            <w:r w:rsidRPr="004A32CF">
              <w:rPr>
                <w:sz w:val="18"/>
                <w:szCs w:val="18"/>
              </w:rPr>
              <w:t>Spoke placement</w:t>
            </w:r>
            <w:r>
              <w:rPr>
                <w:sz w:val="18"/>
                <w:szCs w:val="18"/>
              </w:rPr>
              <w:t xml:space="preserve"> </w:t>
            </w:r>
            <w:r w:rsidRPr="004A32CF">
              <w:rPr>
                <w:sz w:val="18"/>
                <w:szCs w:val="18"/>
              </w:rPr>
              <w:t>&gt;7.5hrs</w:t>
            </w:r>
          </w:p>
        </w:tc>
        <w:tc>
          <w:tcPr>
            <w:tcW w:w="1985" w:type="dxa"/>
          </w:tcPr>
          <w:p w:rsidR="004A32CF" w:rsidRPr="004A32CF" w:rsidRDefault="004A32CF" w:rsidP="006275DD">
            <w:pPr>
              <w:rPr>
                <w:sz w:val="18"/>
                <w:szCs w:val="18"/>
              </w:rPr>
            </w:pPr>
            <w:r w:rsidRPr="004A32CF">
              <w:rPr>
                <w:sz w:val="18"/>
                <w:szCs w:val="18"/>
              </w:rPr>
              <w:t>Hub Placement?</w:t>
            </w:r>
          </w:p>
        </w:tc>
      </w:tr>
      <w:tr w:rsidR="004A32CF" w:rsidRPr="004A32CF" w:rsidTr="002E56A4">
        <w:tc>
          <w:tcPr>
            <w:tcW w:w="1384" w:type="dxa"/>
          </w:tcPr>
          <w:p w:rsidR="004A32CF" w:rsidRPr="004A32CF" w:rsidRDefault="002E56A4" w:rsidP="00627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Hospital</w:t>
            </w:r>
            <w:r w:rsidR="004A32CF" w:rsidRPr="004A32CF">
              <w:rPr>
                <w:sz w:val="18"/>
                <w:szCs w:val="18"/>
              </w:rPr>
              <w:t xml:space="preserve"> 1</w:t>
            </w:r>
          </w:p>
        </w:tc>
        <w:tc>
          <w:tcPr>
            <w:tcW w:w="2268" w:type="dxa"/>
          </w:tcPr>
          <w:p w:rsidR="004A32CF" w:rsidRPr="004A32CF" w:rsidRDefault="004A32CF" w:rsidP="006275DD">
            <w:pPr>
              <w:rPr>
                <w:sz w:val="18"/>
                <w:szCs w:val="18"/>
              </w:rPr>
            </w:pPr>
            <w:r w:rsidRPr="004A32CF">
              <w:rPr>
                <w:sz w:val="18"/>
                <w:szCs w:val="18"/>
              </w:rPr>
              <w:t>Yes</w:t>
            </w:r>
          </w:p>
        </w:tc>
        <w:tc>
          <w:tcPr>
            <w:tcW w:w="2552" w:type="dxa"/>
          </w:tcPr>
          <w:p w:rsidR="004A32CF" w:rsidRPr="004A32CF" w:rsidRDefault="004A32CF" w:rsidP="006275DD">
            <w:pPr>
              <w:rPr>
                <w:sz w:val="18"/>
                <w:szCs w:val="18"/>
              </w:rPr>
            </w:pPr>
            <w:r w:rsidRPr="004A32CF">
              <w:rPr>
                <w:sz w:val="18"/>
                <w:szCs w:val="18"/>
              </w:rPr>
              <w:t>No</w:t>
            </w:r>
          </w:p>
        </w:tc>
        <w:tc>
          <w:tcPr>
            <w:tcW w:w="1985" w:type="dxa"/>
          </w:tcPr>
          <w:p w:rsidR="004A32CF" w:rsidRPr="004A32CF" w:rsidRDefault="004A32CF" w:rsidP="006275DD">
            <w:pPr>
              <w:rPr>
                <w:sz w:val="18"/>
                <w:szCs w:val="18"/>
              </w:rPr>
            </w:pPr>
            <w:r w:rsidRPr="004A32CF">
              <w:rPr>
                <w:sz w:val="18"/>
                <w:szCs w:val="18"/>
              </w:rPr>
              <w:t>No</w:t>
            </w:r>
          </w:p>
        </w:tc>
      </w:tr>
      <w:tr w:rsidR="004A32CF" w:rsidRPr="004A32CF" w:rsidTr="002E56A4">
        <w:tc>
          <w:tcPr>
            <w:tcW w:w="1384" w:type="dxa"/>
          </w:tcPr>
          <w:p w:rsidR="004A32CF" w:rsidRPr="004A32CF" w:rsidRDefault="002E56A4" w:rsidP="00627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Hospital</w:t>
            </w:r>
            <w:r w:rsidRPr="004A32CF">
              <w:rPr>
                <w:sz w:val="18"/>
                <w:szCs w:val="18"/>
              </w:rPr>
              <w:t xml:space="preserve"> </w:t>
            </w:r>
            <w:r w:rsidR="004A32CF" w:rsidRPr="004A32CF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4A32CF" w:rsidRPr="004A32CF" w:rsidRDefault="004A32CF" w:rsidP="006275DD">
            <w:pPr>
              <w:rPr>
                <w:sz w:val="18"/>
                <w:szCs w:val="18"/>
              </w:rPr>
            </w:pPr>
            <w:r w:rsidRPr="004A32CF">
              <w:rPr>
                <w:sz w:val="18"/>
                <w:szCs w:val="18"/>
              </w:rPr>
              <w:t>Yes</w:t>
            </w:r>
          </w:p>
        </w:tc>
        <w:tc>
          <w:tcPr>
            <w:tcW w:w="2552" w:type="dxa"/>
          </w:tcPr>
          <w:p w:rsidR="004A32CF" w:rsidRPr="004A32CF" w:rsidRDefault="004A32CF" w:rsidP="006275DD">
            <w:pPr>
              <w:rPr>
                <w:sz w:val="18"/>
                <w:szCs w:val="18"/>
              </w:rPr>
            </w:pPr>
            <w:r w:rsidRPr="004A32CF">
              <w:rPr>
                <w:sz w:val="18"/>
                <w:szCs w:val="18"/>
              </w:rPr>
              <w:t>No</w:t>
            </w:r>
          </w:p>
        </w:tc>
        <w:tc>
          <w:tcPr>
            <w:tcW w:w="1985" w:type="dxa"/>
          </w:tcPr>
          <w:p w:rsidR="004A32CF" w:rsidRPr="004A32CF" w:rsidRDefault="004A32CF" w:rsidP="006275DD">
            <w:pPr>
              <w:rPr>
                <w:sz w:val="18"/>
                <w:szCs w:val="18"/>
              </w:rPr>
            </w:pPr>
            <w:r w:rsidRPr="004A32CF">
              <w:rPr>
                <w:sz w:val="18"/>
                <w:szCs w:val="18"/>
              </w:rPr>
              <w:t>No</w:t>
            </w:r>
          </w:p>
        </w:tc>
      </w:tr>
      <w:tr w:rsidR="004A32CF" w:rsidRPr="004A32CF" w:rsidTr="002E56A4">
        <w:tc>
          <w:tcPr>
            <w:tcW w:w="1384" w:type="dxa"/>
          </w:tcPr>
          <w:p w:rsidR="004A32CF" w:rsidRPr="004A32CF" w:rsidRDefault="002E56A4" w:rsidP="00627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Hospital</w:t>
            </w:r>
            <w:r w:rsidRPr="004A32CF">
              <w:rPr>
                <w:sz w:val="18"/>
                <w:szCs w:val="18"/>
              </w:rPr>
              <w:t xml:space="preserve"> </w:t>
            </w:r>
            <w:r w:rsidR="004A32CF" w:rsidRPr="004A32CF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4A32CF" w:rsidRPr="004A32CF" w:rsidRDefault="004A32CF" w:rsidP="006275DD">
            <w:pPr>
              <w:rPr>
                <w:sz w:val="18"/>
                <w:szCs w:val="18"/>
              </w:rPr>
            </w:pPr>
            <w:r w:rsidRPr="004A32CF">
              <w:rPr>
                <w:sz w:val="18"/>
                <w:szCs w:val="18"/>
              </w:rPr>
              <w:t>Yes</w:t>
            </w:r>
          </w:p>
        </w:tc>
        <w:tc>
          <w:tcPr>
            <w:tcW w:w="2552" w:type="dxa"/>
          </w:tcPr>
          <w:p w:rsidR="004A32CF" w:rsidRPr="004A32CF" w:rsidRDefault="004A32CF" w:rsidP="006275DD">
            <w:pPr>
              <w:rPr>
                <w:sz w:val="18"/>
                <w:szCs w:val="18"/>
              </w:rPr>
            </w:pPr>
            <w:r w:rsidRPr="004A32CF">
              <w:rPr>
                <w:sz w:val="18"/>
                <w:szCs w:val="18"/>
              </w:rPr>
              <w:t>No</w:t>
            </w:r>
          </w:p>
        </w:tc>
        <w:tc>
          <w:tcPr>
            <w:tcW w:w="1985" w:type="dxa"/>
          </w:tcPr>
          <w:p w:rsidR="004A32CF" w:rsidRPr="004A32CF" w:rsidRDefault="004A32CF" w:rsidP="006275DD">
            <w:pPr>
              <w:rPr>
                <w:sz w:val="18"/>
                <w:szCs w:val="18"/>
              </w:rPr>
            </w:pPr>
            <w:r w:rsidRPr="004A32CF">
              <w:rPr>
                <w:sz w:val="18"/>
                <w:szCs w:val="18"/>
              </w:rPr>
              <w:t>No</w:t>
            </w:r>
          </w:p>
        </w:tc>
      </w:tr>
      <w:tr w:rsidR="004A32CF" w:rsidRPr="004A32CF" w:rsidTr="002E56A4">
        <w:tc>
          <w:tcPr>
            <w:tcW w:w="1384" w:type="dxa"/>
          </w:tcPr>
          <w:p w:rsidR="004A32CF" w:rsidRPr="004A32CF" w:rsidRDefault="002E56A4" w:rsidP="00627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Hospital</w:t>
            </w:r>
            <w:r w:rsidRPr="004A32CF">
              <w:rPr>
                <w:sz w:val="18"/>
                <w:szCs w:val="18"/>
              </w:rPr>
              <w:t xml:space="preserve"> </w:t>
            </w:r>
            <w:r w:rsidR="004A32CF" w:rsidRPr="004A32CF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4A32CF" w:rsidRPr="004A32CF" w:rsidRDefault="004A32CF" w:rsidP="006275DD">
            <w:pPr>
              <w:rPr>
                <w:sz w:val="18"/>
                <w:szCs w:val="18"/>
              </w:rPr>
            </w:pPr>
            <w:r w:rsidRPr="004A32CF">
              <w:rPr>
                <w:sz w:val="18"/>
                <w:szCs w:val="18"/>
              </w:rPr>
              <w:t>Yes</w:t>
            </w:r>
          </w:p>
        </w:tc>
        <w:tc>
          <w:tcPr>
            <w:tcW w:w="2552" w:type="dxa"/>
          </w:tcPr>
          <w:p w:rsidR="004A32CF" w:rsidRPr="004A32CF" w:rsidRDefault="004A32CF" w:rsidP="006275DD">
            <w:pPr>
              <w:rPr>
                <w:sz w:val="18"/>
                <w:szCs w:val="18"/>
              </w:rPr>
            </w:pPr>
            <w:r w:rsidRPr="004A32CF">
              <w:rPr>
                <w:sz w:val="18"/>
                <w:szCs w:val="18"/>
              </w:rPr>
              <w:t>No</w:t>
            </w:r>
          </w:p>
        </w:tc>
        <w:tc>
          <w:tcPr>
            <w:tcW w:w="1985" w:type="dxa"/>
          </w:tcPr>
          <w:p w:rsidR="004A32CF" w:rsidRPr="004A32CF" w:rsidRDefault="004A32CF" w:rsidP="006275DD">
            <w:pPr>
              <w:rPr>
                <w:sz w:val="18"/>
                <w:szCs w:val="18"/>
              </w:rPr>
            </w:pPr>
            <w:r w:rsidRPr="004A32CF">
              <w:rPr>
                <w:sz w:val="18"/>
                <w:szCs w:val="18"/>
              </w:rPr>
              <w:t>No</w:t>
            </w:r>
          </w:p>
        </w:tc>
      </w:tr>
      <w:tr w:rsidR="004A32CF" w:rsidRPr="004A32CF" w:rsidTr="002E56A4">
        <w:tc>
          <w:tcPr>
            <w:tcW w:w="1384" w:type="dxa"/>
          </w:tcPr>
          <w:p w:rsidR="004A32CF" w:rsidRPr="004A32CF" w:rsidRDefault="002E56A4" w:rsidP="00627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Hospital</w:t>
            </w:r>
            <w:r w:rsidRPr="004A32CF">
              <w:rPr>
                <w:sz w:val="18"/>
                <w:szCs w:val="18"/>
              </w:rPr>
              <w:t xml:space="preserve"> </w:t>
            </w:r>
            <w:r w:rsidR="004A32CF" w:rsidRPr="004A32CF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4A32CF" w:rsidRPr="004A32CF" w:rsidRDefault="004A32CF" w:rsidP="006275DD">
            <w:pPr>
              <w:rPr>
                <w:sz w:val="18"/>
                <w:szCs w:val="18"/>
              </w:rPr>
            </w:pPr>
            <w:r w:rsidRPr="004A32CF">
              <w:rPr>
                <w:sz w:val="18"/>
                <w:szCs w:val="18"/>
              </w:rPr>
              <w:t>Yes</w:t>
            </w:r>
          </w:p>
        </w:tc>
        <w:tc>
          <w:tcPr>
            <w:tcW w:w="2552" w:type="dxa"/>
          </w:tcPr>
          <w:p w:rsidR="004A32CF" w:rsidRPr="004A32CF" w:rsidRDefault="004A32CF" w:rsidP="006275DD">
            <w:pPr>
              <w:rPr>
                <w:sz w:val="18"/>
                <w:szCs w:val="18"/>
              </w:rPr>
            </w:pPr>
            <w:r w:rsidRPr="004A32CF">
              <w:rPr>
                <w:sz w:val="18"/>
                <w:szCs w:val="18"/>
              </w:rPr>
              <w:t>No</w:t>
            </w:r>
          </w:p>
        </w:tc>
        <w:tc>
          <w:tcPr>
            <w:tcW w:w="1985" w:type="dxa"/>
          </w:tcPr>
          <w:p w:rsidR="004A32CF" w:rsidRPr="004A32CF" w:rsidRDefault="004A32CF" w:rsidP="006275DD">
            <w:pPr>
              <w:rPr>
                <w:sz w:val="18"/>
                <w:szCs w:val="18"/>
              </w:rPr>
            </w:pPr>
            <w:r w:rsidRPr="004A32CF">
              <w:rPr>
                <w:sz w:val="18"/>
                <w:szCs w:val="18"/>
              </w:rPr>
              <w:t>No</w:t>
            </w:r>
          </w:p>
        </w:tc>
      </w:tr>
      <w:tr w:rsidR="004A32CF" w:rsidRPr="004A32CF" w:rsidTr="002E56A4">
        <w:tc>
          <w:tcPr>
            <w:tcW w:w="1384" w:type="dxa"/>
          </w:tcPr>
          <w:p w:rsidR="004A32CF" w:rsidRPr="004A32CF" w:rsidRDefault="002E56A4" w:rsidP="00627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Hospital</w:t>
            </w:r>
            <w:r w:rsidRPr="004A32CF">
              <w:rPr>
                <w:sz w:val="18"/>
                <w:szCs w:val="18"/>
              </w:rPr>
              <w:t xml:space="preserve"> </w:t>
            </w:r>
            <w:r w:rsidR="004A32CF" w:rsidRPr="004A32CF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4A32CF" w:rsidRPr="004A32CF" w:rsidRDefault="004A32CF" w:rsidP="006275DD">
            <w:pPr>
              <w:rPr>
                <w:sz w:val="18"/>
                <w:szCs w:val="18"/>
              </w:rPr>
            </w:pPr>
            <w:r w:rsidRPr="004A32CF">
              <w:rPr>
                <w:sz w:val="18"/>
                <w:szCs w:val="18"/>
              </w:rPr>
              <w:t>Yes</w:t>
            </w:r>
          </w:p>
        </w:tc>
        <w:tc>
          <w:tcPr>
            <w:tcW w:w="2552" w:type="dxa"/>
          </w:tcPr>
          <w:p w:rsidR="004A32CF" w:rsidRPr="004A32CF" w:rsidRDefault="004A32CF" w:rsidP="006275DD">
            <w:pPr>
              <w:rPr>
                <w:sz w:val="18"/>
                <w:szCs w:val="18"/>
              </w:rPr>
            </w:pPr>
            <w:r w:rsidRPr="004A32CF">
              <w:rPr>
                <w:sz w:val="18"/>
                <w:szCs w:val="18"/>
              </w:rPr>
              <w:t>No</w:t>
            </w:r>
          </w:p>
        </w:tc>
        <w:tc>
          <w:tcPr>
            <w:tcW w:w="1985" w:type="dxa"/>
          </w:tcPr>
          <w:p w:rsidR="004A32CF" w:rsidRPr="004A32CF" w:rsidRDefault="004A32CF" w:rsidP="006275DD">
            <w:pPr>
              <w:rPr>
                <w:sz w:val="18"/>
                <w:szCs w:val="18"/>
              </w:rPr>
            </w:pPr>
            <w:r w:rsidRPr="004A32CF">
              <w:rPr>
                <w:sz w:val="18"/>
                <w:szCs w:val="18"/>
              </w:rPr>
              <w:t>No</w:t>
            </w:r>
          </w:p>
        </w:tc>
      </w:tr>
      <w:tr w:rsidR="004A32CF" w:rsidRPr="004A32CF" w:rsidTr="002E56A4">
        <w:tc>
          <w:tcPr>
            <w:tcW w:w="1384" w:type="dxa"/>
          </w:tcPr>
          <w:p w:rsidR="004A32CF" w:rsidRPr="004A32CF" w:rsidRDefault="002E56A4" w:rsidP="00627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Hospital</w:t>
            </w:r>
            <w:r w:rsidRPr="004A32CF">
              <w:rPr>
                <w:sz w:val="18"/>
                <w:szCs w:val="18"/>
              </w:rPr>
              <w:t xml:space="preserve"> </w:t>
            </w:r>
            <w:r w:rsidR="004A32CF" w:rsidRPr="004A32CF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4A32CF" w:rsidRPr="004A32CF" w:rsidRDefault="004A32CF" w:rsidP="006275DD">
            <w:pPr>
              <w:rPr>
                <w:sz w:val="18"/>
                <w:szCs w:val="18"/>
              </w:rPr>
            </w:pPr>
            <w:r w:rsidRPr="004A32CF">
              <w:rPr>
                <w:sz w:val="18"/>
                <w:szCs w:val="18"/>
              </w:rPr>
              <w:t>Yes</w:t>
            </w:r>
          </w:p>
        </w:tc>
        <w:tc>
          <w:tcPr>
            <w:tcW w:w="2552" w:type="dxa"/>
          </w:tcPr>
          <w:p w:rsidR="004A32CF" w:rsidRPr="004A32CF" w:rsidRDefault="004A32CF" w:rsidP="006275DD">
            <w:pPr>
              <w:rPr>
                <w:sz w:val="18"/>
                <w:szCs w:val="18"/>
              </w:rPr>
            </w:pPr>
            <w:r w:rsidRPr="004A32CF">
              <w:rPr>
                <w:sz w:val="18"/>
                <w:szCs w:val="18"/>
              </w:rPr>
              <w:t>No</w:t>
            </w:r>
          </w:p>
        </w:tc>
        <w:tc>
          <w:tcPr>
            <w:tcW w:w="1985" w:type="dxa"/>
          </w:tcPr>
          <w:p w:rsidR="004A32CF" w:rsidRPr="004A32CF" w:rsidRDefault="004A32CF" w:rsidP="006275DD">
            <w:pPr>
              <w:rPr>
                <w:sz w:val="18"/>
                <w:szCs w:val="18"/>
              </w:rPr>
            </w:pPr>
            <w:r w:rsidRPr="004A32CF">
              <w:rPr>
                <w:sz w:val="18"/>
                <w:szCs w:val="18"/>
              </w:rPr>
              <w:t>No</w:t>
            </w:r>
          </w:p>
        </w:tc>
      </w:tr>
      <w:tr w:rsidR="004A32CF" w:rsidRPr="004A32CF" w:rsidTr="002E56A4">
        <w:tc>
          <w:tcPr>
            <w:tcW w:w="1384" w:type="dxa"/>
          </w:tcPr>
          <w:p w:rsidR="004A32CF" w:rsidRPr="004A32CF" w:rsidRDefault="002E56A4" w:rsidP="00627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Hospital</w:t>
            </w:r>
            <w:r w:rsidRPr="004A32CF">
              <w:rPr>
                <w:sz w:val="18"/>
                <w:szCs w:val="18"/>
              </w:rPr>
              <w:t xml:space="preserve"> </w:t>
            </w:r>
            <w:r w:rsidR="004A32CF" w:rsidRPr="004A32CF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4A32CF" w:rsidRPr="004A32CF" w:rsidRDefault="004A32CF" w:rsidP="006275DD">
            <w:pPr>
              <w:rPr>
                <w:sz w:val="18"/>
                <w:szCs w:val="18"/>
              </w:rPr>
            </w:pPr>
            <w:r w:rsidRPr="004A32CF">
              <w:rPr>
                <w:sz w:val="18"/>
                <w:szCs w:val="18"/>
              </w:rPr>
              <w:t>Yes</w:t>
            </w:r>
          </w:p>
        </w:tc>
        <w:tc>
          <w:tcPr>
            <w:tcW w:w="2552" w:type="dxa"/>
          </w:tcPr>
          <w:p w:rsidR="004A32CF" w:rsidRPr="004A32CF" w:rsidRDefault="004A32CF" w:rsidP="006275DD">
            <w:pPr>
              <w:rPr>
                <w:sz w:val="18"/>
                <w:szCs w:val="18"/>
              </w:rPr>
            </w:pPr>
            <w:r w:rsidRPr="004A32CF">
              <w:rPr>
                <w:sz w:val="18"/>
                <w:szCs w:val="18"/>
              </w:rPr>
              <w:t>No</w:t>
            </w:r>
          </w:p>
        </w:tc>
        <w:tc>
          <w:tcPr>
            <w:tcW w:w="1985" w:type="dxa"/>
          </w:tcPr>
          <w:p w:rsidR="004A32CF" w:rsidRPr="004A32CF" w:rsidRDefault="004A32CF" w:rsidP="006275DD">
            <w:pPr>
              <w:rPr>
                <w:sz w:val="18"/>
                <w:szCs w:val="18"/>
              </w:rPr>
            </w:pPr>
            <w:r w:rsidRPr="004A32CF">
              <w:rPr>
                <w:sz w:val="18"/>
                <w:szCs w:val="18"/>
              </w:rPr>
              <w:t>No</w:t>
            </w:r>
          </w:p>
        </w:tc>
      </w:tr>
      <w:tr w:rsidR="004A32CF" w:rsidRPr="004A32CF" w:rsidTr="002E56A4">
        <w:tc>
          <w:tcPr>
            <w:tcW w:w="1384" w:type="dxa"/>
          </w:tcPr>
          <w:p w:rsidR="004A32CF" w:rsidRPr="004A32CF" w:rsidRDefault="002E56A4" w:rsidP="00627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Hospital</w:t>
            </w:r>
            <w:r w:rsidRPr="004A32CF">
              <w:rPr>
                <w:sz w:val="18"/>
                <w:szCs w:val="18"/>
              </w:rPr>
              <w:t xml:space="preserve"> </w:t>
            </w:r>
            <w:r w:rsidR="004A32CF" w:rsidRPr="004A32CF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4A32CF" w:rsidRPr="004A32CF" w:rsidRDefault="004A32CF" w:rsidP="006275DD">
            <w:pPr>
              <w:rPr>
                <w:sz w:val="18"/>
                <w:szCs w:val="18"/>
              </w:rPr>
            </w:pPr>
            <w:r w:rsidRPr="004A32CF">
              <w:rPr>
                <w:sz w:val="18"/>
                <w:szCs w:val="18"/>
              </w:rPr>
              <w:t>Yes</w:t>
            </w:r>
          </w:p>
        </w:tc>
        <w:tc>
          <w:tcPr>
            <w:tcW w:w="2552" w:type="dxa"/>
          </w:tcPr>
          <w:p w:rsidR="004A32CF" w:rsidRPr="004A32CF" w:rsidRDefault="004A32CF" w:rsidP="006275DD">
            <w:pPr>
              <w:rPr>
                <w:sz w:val="18"/>
                <w:szCs w:val="18"/>
              </w:rPr>
            </w:pPr>
            <w:r w:rsidRPr="004A32CF">
              <w:rPr>
                <w:sz w:val="18"/>
                <w:szCs w:val="18"/>
              </w:rPr>
              <w:t>No</w:t>
            </w:r>
          </w:p>
        </w:tc>
        <w:tc>
          <w:tcPr>
            <w:tcW w:w="1985" w:type="dxa"/>
          </w:tcPr>
          <w:p w:rsidR="004A32CF" w:rsidRPr="004A32CF" w:rsidRDefault="004A32CF" w:rsidP="006275DD">
            <w:pPr>
              <w:rPr>
                <w:sz w:val="18"/>
                <w:szCs w:val="18"/>
              </w:rPr>
            </w:pPr>
            <w:r w:rsidRPr="004A32CF">
              <w:rPr>
                <w:sz w:val="18"/>
                <w:szCs w:val="18"/>
              </w:rPr>
              <w:t>No</w:t>
            </w:r>
          </w:p>
        </w:tc>
      </w:tr>
      <w:tr w:rsidR="004A32CF" w:rsidRPr="004A32CF" w:rsidTr="002E56A4">
        <w:tc>
          <w:tcPr>
            <w:tcW w:w="1384" w:type="dxa"/>
          </w:tcPr>
          <w:p w:rsidR="004A32CF" w:rsidRPr="004A32CF" w:rsidRDefault="002E56A4" w:rsidP="00627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Hospital</w:t>
            </w:r>
            <w:r w:rsidRPr="004A32CF">
              <w:rPr>
                <w:sz w:val="18"/>
                <w:szCs w:val="18"/>
              </w:rPr>
              <w:t xml:space="preserve"> </w:t>
            </w:r>
            <w:r w:rsidR="004A32CF" w:rsidRPr="004A32CF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4A32CF" w:rsidRPr="004A32CF" w:rsidRDefault="004A32CF" w:rsidP="006275DD">
            <w:pPr>
              <w:rPr>
                <w:sz w:val="18"/>
                <w:szCs w:val="18"/>
              </w:rPr>
            </w:pPr>
            <w:r w:rsidRPr="004A32CF">
              <w:rPr>
                <w:sz w:val="18"/>
                <w:szCs w:val="18"/>
              </w:rPr>
              <w:t>Yes</w:t>
            </w:r>
          </w:p>
        </w:tc>
        <w:tc>
          <w:tcPr>
            <w:tcW w:w="2552" w:type="dxa"/>
          </w:tcPr>
          <w:p w:rsidR="004A32CF" w:rsidRPr="004A32CF" w:rsidRDefault="004A32CF" w:rsidP="006275DD">
            <w:pPr>
              <w:rPr>
                <w:sz w:val="18"/>
                <w:szCs w:val="18"/>
              </w:rPr>
            </w:pPr>
            <w:r w:rsidRPr="004A32CF">
              <w:rPr>
                <w:sz w:val="18"/>
                <w:szCs w:val="18"/>
              </w:rPr>
              <w:t>No</w:t>
            </w:r>
          </w:p>
        </w:tc>
        <w:tc>
          <w:tcPr>
            <w:tcW w:w="1985" w:type="dxa"/>
          </w:tcPr>
          <w:p w:rsidR="004A32CF" w:rsidRPr="004A32CF" w:rsidRDefault="004A32CF" w:rsidP="006275DD">
            <w:pPr>
              <w:rPr>
                <w:sz w:val="18"/>
                <w:szCs w:val="18"/>
              </w:rPr>
            </w:pPr>
            <w:r w:rsidRPr="004A32CF">
              <w:rPr>
                <w:sz w:val="18"/>
                <w:szCs w:val="18"/>
              </w:rPr>
              <w:t>No</w:t>
            </w:r>
          </w:p>
        </w:tc>
      </w:tr>
      <w:tr w:rsidR="004A32CF" w:rsidRPr="004A32CF" w:rsidTr="002E56A4">
        <w:tc>
          <w:tcPr>
            <w:tcW w:w="1384" w:type="dxa"/>
          </w:tcPr>
          <w:p w:rsidR="004A32CF" w:rsidRPr="004A32CF" w:rsidRDefault="002E56A4" w:rsidP="00627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Hospital</w:t>
            </w:r>
            <w:r w:rsidRPr="004A32CF">
              <w:rPr>
                <w:sz w:val="18"/>
                <w:szCs w:val="18"/>
              </w:rPr>
              <w:t xml:space="preserve"> </w:t>
            </w:r>
            <w:r w:rsidR="004A32CF" w:rsidRPr="004A32CF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4A32CF" w:rsidRPr="004A32CF" w:rsidRDefault="004A32CF" w:rsidP="006275DD">
            <w:pPr>
              <w:rPr>
                <w:sz w:val="18"/>
                <w:szCs w:val="18"/>
              </w:rPr>
            </w:pPr>
            <w:r w:rsidRPr="004A32CF">
              <w:rPr>
                <w:sz w:val="18"/>
                <w:szCs w:val="18"/>
              </w:rPr>
              <w:t>No</w:t>
            </w:r>
          </w:p>
        </w:tc>
        <w:tc>
          <w:tcPr>
            <w:tcW w:w="2552" w:type="dxa"/>
          </w:tcPr>
          <w:p w:rsidR="004A32CF" w:rsidRPr="004A32CF" w:rsidRDefault="004A32CF" w:rsidP="006275DD">
            <w:pPr>
              <w:rPr>
                <w:sz w:val="18"/>
                <w:szCs w:val="18"/>
              </w:rPr>
            </w:pPr>
            <w:r w:rsidRPr="004A32CF">
              <w:rPr>
                <w:sz w:val="18"/>
                <w:szCs w:val="18"/>
              </w:rPr>
              <w:t>Yes</w:t>
            </w:r>
          </w:p>
        </w:tc>
        <w:tc>
          <w:tcPr>
            <w:tcW w:w="1985" w:type="dxa"/>
          </w:tcPr>
          <w:p w:rsidR="004A32CF" w:rsidRPr="004A32CF" w:rsidRDefault="004A32CF" w:rsidP="006275DD">
            <w:pPr>
              <w:rPr>
                <w:sz w:val="18"/>
                <w:szCs w:val="18"/>
              </w:rPr>
            </w:pPr>
            <w:r w:rsidRPr="004A32CF">
              <w:rPr>
                <w:sz w:val="18"/>
                <w:szCs w:val="18"/>
              </w:rPr>
              <w:t>No</w:t>
            </w:r>
          </w:p>
        </w:tc>
      </w:tr>
      <w:tr w:rsidR="004A32CF" w:rsidRPr="004A32CF" w:rsidTr="006275DD">
        <w:tc>
          <w:tcPr>
            <w:tcW w:w="8189" w:type="dxa"/>
            <w:gridSpan w:val="4"/>
            <w:shd w:val="clear" w:color="auto" w:fill="C6D9F1" w:themeFill="text2" w:themeFillTint="33"/>
          </w:tcPr>
          <w:p w:rsidR="004A32CF" w:rsidRPr="004A32CF" w:rsidRDefault="004A32CF" w:rsidP="006275DD">
            <w:pPr>
              <w:rPr>
                <w:sz w:val="18"/>
                <w:szCs w:val="18"/>
              </w:rPr>
            </w:pPr>
            <w:r w:rsidRPr="004A32CF">
              <w:rPr>
                <w:sz w:val="18"/>
                <w:szCs w:val="18"/>
              </w:rPr>
              <w:t>Results: 91% Trusts offer spoke placements less than 7.5hrs</w:t>
            </w:r>
          </w:p>
          <w:p w:rsidR="004A32CF" w:rsidRPr="004A32CF" w:rsidRDefault="004A32CF" w:rsidP="006275DD">
            <w:pPr>
              <w:rPr>
                <w:sz w:val="18"/>
                <w:szCs w:val="18"/>
              </w:rPr>
            </w:pPr>
            <w:r w:rsidRPr="004A32CF">
              <w:rPr>
                <w:sz w:val="18"/>
                <w:szCs w:val="18"/>
              </w:rPr>
              <w:t xml:space="preserve">               9%   Trusts offer spoke placements greater than 7.5hrs</w:t>
            </w:r>
          </w:p>
          <w:p w:rsidR="004A32CF" w:rsidRPr="004A32CF" w:rsidRDefault="004A32CF" w:rsidP="006275DD">
            <w:pPr>
              <w:rPr>
                <w:sz w:val="18"/>
                <w:szCs w:val="18"/>
              </w:rPr>
            </w:pPr>
            <w:r w:rsidRPr="004A32CF">
              <w:rPr>
                <w:sz w:val="18"/>
                <w:szCs w:val="18"/>
              </w:rPr>
              <w:t xml:space="preserve">               100% of respondents did not offer a hub placement</w:t>
            </w:r>
          </w:p>
          <w:p w:rsidR="004A32CF" w:rsidRPr="004A32CF" w:rsidRDefault="004A32CF" w:rsidP="006275DD">
            <w:pPr>
              <w:rPr>
                <w:sz w:val="18"/>
                <w:szCs w:val="18"/>
              </w:rPr>
            </w:pPr>
          </w:p>
          <w:p w:rsidR="004A32CF" w:rsidRPr="004A32CF" w:rsidRDefault="004A32CF" w:rsidP="006275DD">
            <w:pPr>
              <w:rPr>
                <w:sz w:val="18"/>
                <w:szCs w:val="18"/>
              </w:rPr>
            </w:pPr>
            <w:r w:rsidRPr="004A32CF">
              <w:rPr>
                <w:sz w:val="18"/>
                <w:szCs w:val="18"/>
              </w:rPr>
              <w:t>Total of 14 questionnaires sent 3 trusts did not respond</w:t>
            </w:r>
          </w:p>
        </w:tc>
      </w:tr>
    </w:tbl>
    <w:p w:rsidR="002E56A4" w:rsidRDefault="002E56A4">
      <w:pPr>
        <w:rPr>
          <w:b/>
        </w:rPr>
      </w:pPr>
    </w:p>
    <w:p w:rsidR="002E64B1" w:rsidRDefault="002E64B1">
      <w:pPr>
        <w:rPr>
          <w:b/>
        </w:rPr>
      </w:pPr>
    </w:p>
    <w:p w:rsidR="00B01A7C" w:rsidRDefault="00B01A7C">
      <w:pPr>
        <w:rPr>
          <w:b/>
        </w:rPr>
      </w:pPr>
      <w:r>
        <w:rPr>
          <w:b/>
        </w:rPr>
        <w:lastRenderedPageBreak/>
        <w:t>Students to Staff Nurse</w:t>
      </w:r>
      <w:r w:rsidR="008C6BD0">
        <w:rPr>
          <w:b/>
        </w:rPr>
        <w:t xml:space="preserve"> </w:t>
      </w:r>
      <w:r w:rsidR="008B36E8">
        <w:rPr>
          <w:b/>
        </w:rPr>
        <w:t>Structured Questionnaire – sample feedback</w:t>
      </w:r>
    </w:p>
    <w:p w:rsidR="00B01A7C" w:rsidRDefault="00B01A7C" w:rsidP="008B36E8">
      <w:pPr>
        <w:pStyle w:val="ListParagraph"/>
        <w:numPr>
          <w:ilvl w:val="0"/>
          <w:numId w:val="4"/>
        </w:numPr>
      </w:pPr>
      <w:r w:rsidRPr="00B01A7C">
        <w:t xml:space="preserve">I thoroughly enjoyed my placement with the pain </w:t>
      </w:r>
      <w:proofErr w:type="gramStart"/>
      <w:r w:rsidRPr="00B01A7C">
        <w:t>team .</w:t>
      </w:r>
      <w:proofErr w:type="gramEnd"/>
      <w:r w:rsidRPr="00B01A7C">
        <w:t xml:space="preserve"> I feel it was the most beneficial placement within my training as I developed skills I did not have the opportunity to do anywhere else. I was supported to undertake a research project which led to the implementation of the analgesia in rib fractures pathway. I also got the opportunity to produce a poster for the pain symposium and gain skills in presenting my work.   I was </w:t>
      </w:r>
      <w:r w:rsidR="008B36E8" w:rsidRPr="00B01A7C">
        <w:t>encouraged to</w:t>
      </w:r>
      <w:r w:rsidRPr="00B01A7C">
        <w:t xml:space="preserve"> push myself </w:t>
      </w:r>
      <w:r w:rsidR="008B36E8" w:rsidRPr="00B01A7C">
        <w:t>during placement</w:t>
      </w:r>
      <w:r w:rsidRPr="00B01A7C">
        <w:t xml:space="preserve"> and achieve as much as possible. I felt very valued</w:t>
      </w:r>
      <w:r w:rsidR="008B36E8">
        <w:t xml:space="preserve"> and my learning was a priority</w:t>
      </w:r>
      <w:r w:rsidRPr="00B01A7C">
        <w:t>.</w:t>
      </w:r>
    </w:p>
    <w:p w:rsidR="002E64B1" w:rsidRPr="00B01A7C" w:rsidRDefault="002E64B1" w:rsidP="002E64B1">
      <w:pPr>
        <w:pStyle w:val="ListParagraph"/>
      </w:pPr>
    </w:p>
    <w:p w:rsidR="00B01A7C" w:rsidRPr="00B01A7C" w:rsidRDefault="00B01A7C" w:rsidP="008B36E8">
      <w:pPr>
        <w:pStyle w:val="ListParagraph"/>
        <w:numPr>
          <w:ilvl w:val="0"/>
          <w:numId w:val="4"/>
        </w:numPr>
      </w:pPr>
      <w:r w:rsidRPr="00B01A7C">
        <w:t xml:space="preserve">I would like to thank the team for giving me the opportunities available during my time with the pain team, as it had a profound impact on my learning and in my career. </w:t>
      </w:r>
    </w:p>
    <w:p w:rsidR="00145D2A" w:rsidRPr="00410E92" w:rsidRDefault="00145D2A">
      <w:pPr>
        <w:rPr>
          <w:b/>
        </w:rPr>
      </w:pPr>
      <w:r w:rsidRPr="00410E92">
        <w:rPr>
          <w:b/>
        </w:rPr>
        <w:t>Conclusion</w:t>
      </w:r>
    </w:p>
    <w:p w:rsidR="000F03F4" w:rsidRDefault="000E5C11">
      <w:r>
        <w:rPr>
          <w:lang w:val="en"/>
        </w:rPr>
        <w:t xml:space="preserve">Clinical education is an essential part of the undergraduate nursing </w:t>
      </w:r>
      <w:r w:rsidR="002E64B1">
        <w:rPr>
          <w:lang w:val="en"/>
        </w:rPr>
        <w:t>curriculum (</w:t>
      </w:r>
      <w:r>
        <w:rPr>
          <w:lang w:val="en"/>
        </w:rPr>
        <w:t>Nursing Times</w:t>
      </w:r>
      <w:r w:rsidR="002E64B1">
        <w:rPr>
          <w:lang w:val="en"/>
        </w:rPr>
        <w:t xml:space="preserve"> 2</w:t>
      </w:r>
      <w:r>
        <w:rPr>
          <w:lang w:val="en"/>
        </w:rPr>
        <w:t>006)</w:t>
      </w:r>
      <w:r w:rsidR="00501FAA">
        <w:rPr>
          <w:vertAlign w:val="superscript"/>
          <w:lang w:val="en"/>
        </w:rPr>
        <w:t>2</w:t>
      </w:r>
      <w:r w:rsidR="00012048">
        <w:t xml:space="preserve">. </w:t>
      </w:r>
      <w:r w:rsidR="00C547B0">
        <w:t xml:space="preserve"> </w:t>
      </w:r>
      <w:r w:rsidRPr="00E26B65">
        <w:rPr>
          <w:color w:val="000000"/>
        </w:rPr>
        <w:t xml:space="preserve">Unlike classroom education, clinical training in nursing occurs in a complex clinical learning environment which is influenced by many </w:t>
      </w:r>
      <w:r w:rsidR="002E56A4" w:rsidRPr="00E26B65">
        <w:rPr>
          <w:color w:val="000000"/>
        </w:rPr>
        <w:t>factors</w:t>
      </w:r>
      <w:r w:rsidR="003B27B3">
        <w:rPr>
          <w:color w:val="000000"/>
        </w:rPr>
        <w:t xml:space="preserve"> (</w:t>
      </w:r>
      <w:proofErr w:type="spellStart"/>
      <w:r w:rsidR="003B27B3">
        <w:rPr>
          <w:color w:val="000000"/>
        </w:rPr>
        <w:t>Jamshidi</w:t>
      </w:r>
      <w:proofErr w:type="spellEnd"/>
      <w:r w:rsidR="003B27B3">
        <w:rPr>
          <w:color w:val="000000"/>
        </w:rPr>
        <w:t xml:space="preserve"> 2016)</w:t>
      </w:r>
      <w:r w:rsidR="00501FAA">
        <w:rPr>
          <w:rFonts w:ascii="inherit" w:hAnsi="inherit"/>
          <w:color w:val="000000"/>
          <w:sz w:val="26"/>
          <w:szCs w:val="26"/>
          <w:vertAlign w:val="superscript"/>
        </w:rPr>
        <w:t>3</w:t>
      </w:r>
      <w:r w:rsidR="001A5E55">
        <w:t>.</w:t>
      </w:r>
      <w:r w:rsidR="00E26B65">
        <w:t xml:space="preserve"> </w:t>
      </w:r>
      <w:r w:rsidR="001A5E55">
        <w:t>I</w:t>
      </w:r>
      <w:r w:rsidR="00E26B65">
        <w:t xml:space="preserve">t was </w:t>
      </w:r>
      <w:r w:rsidR="001A5E55">
        <w:t>recognised that</w:t>
      </w:r>
      <w:r w:rsidR="00E26B65">
        <w:t xml:space="preserve"> </w:t>
      </w:r>
      <w:r w:rsidR="001A5E55">
        <w:t xml:space="preserve">there was a need </w:t>
      </w:r>
      <w:r w:rsidR="00E26B65">
        <w:t xml:space="preserve">to involve students in </w:t>
      </w:r>
      <w:r w:rsidR="001A5E55">
        <w:t xml:space="preserve">pain </w:t>
      </w:r>
      <w:r w:rsidR="008B36E8">
        <w:t>management as</w:t>
      </w:r>
      <w:r w:rsidR="001A5E55">
        <w:t xml:space="preserve"> </w:t>
      </w:r>
      <w:r w:rsidR="002E64B1">
        <w:t>this</w:t>
      </w:r>
      <w:r w:rsidR="00E26B65">
        <w:t xml:space="preserve"> would be crucial </w:t>
      </w:r>
      <w:r w:rsidR="001A5E55">
        <w:t>in</w:t>
      </w:r>
      <w:r w:rsidR="00E26B65">
        <w:t xml:space="preserve"> developing</w:t>
      </w:r>
      <w:r w:rsidR="001A5E55">
        <w:t xml:space="preserve"> their skill</w:t>
      </w:r>
      <w:r w:rsidR="002E56A4">
        <w:t xml:space="preserve"> and</w:t>
      </w:r>
      <w:r w:rsidR="00E26B65">
        <w:t xml:space="preserve"> would offer immediate and long-term benefit to our </w:t>
      </w:r>
      <w:r w:rsidR="002E56A4">
        <w:t xml:space="preserve">patients. </w:t>
      </w:r>
      <w:r w:rsidR="00E26B65">
        <w:t>Following discussions with the practice education facilitators (PEF</w:t>
      </w:r>
      <w:r w:rsidR="002E56A4">
        <w:t>) and exploring</w:t>
      </w:r>
      <w:r w:rsidR="00A860A6">
        <w:t xml:space="preserve"> </w:t>
      </w:r>
      <w:r w:rsidR="002E56A4">
        <w:t>the nursing</w:t>
      </w:r>
      <w:r w:rsidR="00A860A6">
        <w:t xml:space="preserve"> curriculum </w:t>
      </w:r>
      <w:r w:rsidR="00E26B65">
        <w:t xml:space="preserve">it was agreed </w:t>
      </w:r>
      <w:r w:rsidR="00A860A6">
        <w:t xml:space="preserve">that students at the end of their second year and beginning of their third year would be best placed to get most out of this hub </w:t>
      </w:r>
      <w:r w:rsidR="002E56A4">
        <w:t>placement</w:t>
      </w:r>
      <w:r w:rsidR="008C6BD0">
        <w:t xml:space="preserve"> (4-6weeks placement)</w:t>
      </w:r>
      <w:r w:rsidR="002E56A4">
        <w:t xml:space="preserve">. </w:t>
      </w:r>
      <w:r w:rsidR="000F03F4">
        <w:t>This poster will demonstrate the benefits</w:t>
      </w:r>
      <w:r w:rsidR="00DE5888">
        <w:t xml:space="preserve"> to the student and specialist </w:t>
      </w:r>
      <w:r w:rsidR="00BA5695">
        <w:t xml:space="preserve">nurses </w:t>
      </w:r>
      <w:r w:rsidR="002E64B1">
        <w:t xml:space="preserve">in </w:t>
      </w:r>
      <w:bookmarkStart w:id="0" w:name="_GoBack"/>
      <w:bookmarkEnd w:id="0"/>
      <w:r w:rsidR="00BA5695">
        <w:t>having</w:t>
      </w:r>
      <w:r w:rsidR="000F03F4">
        <w:t xml:space="preserve"> </w:t>
      </w:r>
      <w:r w:rsidR="00DE5888">
        <w:t xml:space="preserve">them </w:t>
      </w:r>
      <w:r w:rsidR="000F03F4">
        <w:t>for a period of time</w:t>
      </w:r>
      <w:r w:rsidR="00DE5888">
        <w:t>. It will acknowledge the importance of collaboration with the Practice Education Team</w:t>
      </w:r>
      <w:r w:rsidR="00B62B63">
        <w:t xml:space="preserve"> and U</w:t>
      </w:r>
      <w:r w:rsidR="00DE5888">
        <w:t xml:space="preserve">niversity. </w:t>
      </w:r>
      <w:r w:rsidR="00BA5695">
        <w:t xml:space="preserve">Our aim is to </w:t>
      </w:r>
      <w:r w:rsidR="00DE5888">
        <w:t xml:space="preserve">stimulate and motivate those reading the poster to have students as part of their </w:t>
      </w:r>
      <w:r w:rsidR="00BA5695">
        <w:t>educational strategy in</w:t>
      </w:r>
      <w:r w:rsidR="00DE5888">
        <w:t xml:space="preserve"> order to educate the nurses of the future.</w:t>
      </w:r>
    </w:p>
    <w:p w:rsidR="00501FAA" w:rsidRDefault="00501FAA"/>
    <w:p w:rsidR="002B7559" w:rsidRDefault="002B7559">
      <w:r>
        <w:t>References</w:t>
      </w:r>
    </w:p>
    <w:p w:rsidR="002B7559" w:rsidRPr="00443883" w:rsidRDefault="00A0367C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2B7559" w:rsidRPr="00443883">
        <w:rPr>
          <w:sz w:val="20"/>
          <w:szCs w:val="20"/>
        </w:rPr>
        <w:t xml:space="preserve">Education about Pain: a neglected area, </w:t>
      </w:r>
      <w:r w:rsidR="000636E8" w:rsidRPr="00443883">
        <w:rPr>
          <w:sz w:val="20"/>
          <w:szCs w:val="20"/>
        </w:rPr>
        <w:t>A</w:t>
      </w:r>
      <w:r w:rsidR="002B7559" w:rsidRPr="00443883">
        <w:rPr>
          <w:sz w:val="20"/>
          <w:szCs w:val="20"/>
        </w:rPr>
        <w:t xml:space="preserve"> </w:t>
      </w:r>
      <w:proofErr w:type="spellStart"/>
      <w:r w:rsidR="002B7559" w:rsidRPr="00443883">
        <w:rPr>
          <w:sz w:val="20"/>
          <w:szCs w:val="20"/>
        </w:rPr>
        <w:t>Twycross</w:t>
      </w:r>
      <w:proofErr w:type="spellEnd"/>
      <w:r w:rsidR="002B7559" w:rsidRPr="00443883">
        <w:rPr>
          <w:sz w:val="20"/>
          <w:szCs w:val="20"/>
        </w:rPr>
        <w:t xml:space="preserve">  </w:t>
      </w:r>
      <w:r w:rsidR="00F35973">
        <w:rPr>
          <w:sz w:val="20"/>
          <w:szCs w:val="20"/>
        </w:rPr>
        <w:t xml:space="preserve"> </w:t>
      </w:r>
      <w:r w:rsidR="002B7559" w:rsidRPr="00443883">
        <w:rPr>
          <w:sz w:val="20"/>
          <w:szCs w:val="20"/>
        </w:rPr>
        <w:t>Volume 20, Issue 3, April 2000 pages 244-253.</w:t>
      </w:r>
    </w:p>
    <w:p w:rsidR="000E5C11" w:rsidRPr="00443883" w:rsidRDefault="00A0367C">
      <w:pPr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2. </w:t>
      </w:r>
      <w:r w:rsidR="000E5C11" w:rsidRPr="00443883">
        <w:rPr>
          <w:rFonts w:cs="Arial"/>
          <w:sz w:val="20"/>
          <w:szCs w:val="20"/>
        </w:rPr>
        <w:t>Enhancing support for nursing students in the clinical setting | Clinical</w:t>
      </w:r>
      <w:r>
        <w:rPr>
          <w:rFonts w:cs="Arial"/>
          <w:sz w:val="20"/>
          <w:szCs w:val="20"/>
        </w:rPr>
        <w:t xml:space="preserve">   h</w:t>
      </w:r>
      <w:r w:rsidR="000E5C11" w:rsidRPr="00443883">
        <w:rPr>
          <w:sz w:val="20"/>
          <w:szCs w:val="20"/>
        </w:rPr>
        <w:t>ttps://www.nursingtimes.net/enhancing-support-for-nursing-students-in-the-clinical-setting/203296.article</w:t>
      </w:r>
    </w:p>
    <w:p w:rsidR="00A0367C" w:rsidRPr="00443883" w:rsidRDefault="00A0367C" w:rsidP="00A0367C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443883">
        <w:rPr>
          <w:sz w:val="20"/>
          <w:szCs w:val="20"/>
        </w:rPr>
        <w:t>The Challenges of Nursing Students in the Clinical Learning Environment: A Qualitative Study (2) https://www.hindawi.com/journals/tswj/2016/1846178/</w:t>
      </w:r>
    </w:p>
    <w:p w:rsidR="002B7559" w:rsidRPr="00443883" w:rsidRDefault="002B7559">
      <w:pPr>
        <w:rPr>
          <w:sz w:val="20"/>
          <w:szCs w:val="20"/>
        </w:rPr>
      </w:pPr>
    </w:p>
    <w:p w:rsidR="002B7559" w:rsidRDefault="002B7559"/>
    <w:p w:rsidR="000F03F4" w:rsidRDefault="000F03F4"/>
    <w:sectPr w:rsidR="000F03F4" w:rsidSect="00A5161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1FF" w:rsidRDefault="005C01FF" w:rsidP="002B7559">
      <w:pPr>
        <w:spacing w:after="0" w:line="240" w:lineRule="auto"/>
      </w:pPr>
      <w:r>
        <w:separator/>
      </w:r>
    </w:p>
  </w:endnote>
  <w:endnote w:type="continuationSeparator" w:id="0">
    <w:p w:rsidR="005C01FF" w:rsidRDefault="005C01FF" w:rsidP="002B7559">
      <w:pPr>
        <w:spacing w:after="0" w:line="240" w:lineRule="auto"/>
      </w:pPr>
      <w:r>
        <w:continuationSeparator/>
      </w:r>
    </w:p>
  </w:endnote>
  <w:endnote w:type="continuationNotice" w:id="1">
    <w:p w:rsidR="005C01FF" w:rsidRDefault="005C01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1FF" w:rsidRDefault="005C01FF" w:rsidP="002B7559">
      <w:pPr>
        <w:spacing w:after="0" w:line="240" w:lineRule="auto"/>
      </w:pPr>
      <w:r>
        <w:separator/>
      </w:r>
    </w:p>
  </w:footnote>
  <w:footnote w:type="continuationSeparator" w:id="0">
    <w:p w:rsidR="005C01FF" w:rsidRDefault="005C01FF" w:rsidP="002B7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498B"/>
    <w:multiLevelType w:val="hybridMultilevel"/>
    <w:tmpl w:val="979CB182"/>
    <w:lvl w:ilvl="0" w:tplc="EEA85F4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E3134"/>
    <w:multiLevelType w:val="hybridMultilevel"/>
    <w:tmpl w:val="A61C1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16604"/>
    <w:multiLevelType w:val="hybridMultilevel"/>
    <w:tmpl w:val="FD789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B2A7D"/>
    <w:multiLevelType w:val="hybridMultilevel"/>
    <w:tmpl w:val="2A5A1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DB"/>
    <w:rsid w:val="00012048"/>
    <w:rsid w:val="000636E8"/>
    <w:rsid w:val="000D15F2"/>
    <w:rsid w:val="000E5708"/>
    <w:rsid w:val="000E5C11"/>
    <w:rsid w:val="000F03F4"/>
    <w:rsid w:val="00117348"/>
    <w:rsid w:val="00126644"/>
    <w:rsid w:val="00145D2A"/>
    <w:rsid w:val="001A5E55"/>
    <w:rsid w:val="001C7D59"/>
    <w:rsid w:val="001F248B"/>
    <w:rsid w:val="00203832"/>
    <w:rsid w:val="002B7559"/>
    <w:rsid w:val="002E56A4"/>
    <w:rsid w:val="002E64B1"/>
    <w:rsid w:val="0035314B"/>
    <w:rsid w:val="003972E9"/>
    <w:rsid w:val="003B27B3"/>
    <w:rsid w:val="00400A8A"/>
    <w:rsid w:val="00410E92"/>
    <w:rsid w:val="00443883"/>
    <w:rsid w:val="004A32CF"/>
    <w:rsid w:val="004C7680"/>
    <w:rsid w:val="00501FAA"/>
    <w:rsid w:val="00506725"/>
    <w:rsid w:val="00582122"/>
    <w:rsid w:val="005B7299"/>
    <w:rsid w:val="005C01FF"/>
    <w:rsid w:val="006A5685"/>
    <w:rsid w:val="006D1CDE"/>
    <w:rsid w:val="007077FE"/>
    <w:rsid w:val="0084059A"/>
    <w:rsid w:val="008A444D"/>
    <w:rsid w:val="008A5E5F"/>
    <w:rsid w:val="008B36E8"/>
    <w:rsid w:val="008C6BD0"/>
    <w:rsid w:val="00951C30"/>
    <w:rsid w:val="00967A72"/>
    <w:rsid w:val="009C341B"/>
    <w:rsid w:val="00A0367C"/>
    <w:rsid w:val="00A03BBF"/>
    <w:rsid w:val="00A51618"/>
    <w:rsid w:val="00A860A6"/>
    <w:rsid w:val="00A94032"/>
    <w:rsid w:val="00A97347"/>
    <w:rsid w:val="00AA066B"/>
    <w:rsid w:val="00B01A7C"/>
    <w:rsid w:val="00B12AE7"/>
    <w:rsid w:val="00B16C45"/>
    <w:rsid w:val="00B62B63"/>
    <w:rsid w:val="00B6520C"/>
    <w:rsid w:val="00BA50C6"/>
    <w:rsid w:val="00BA5695"/>
    <w:rsid w:val="00C040C0"/>
    <w:rsid w:val="00C547B0"/>
    <w:rsid w:val="00C749D6"/>
    <w:rsid w:val="00C84CDE"/>
    <w:rsid w:val="00DE5888"/>
    <w:rsid w:val="00E074B6"/>
    <w:rsid w:val="00E26B65"/>
    <w:rsid w:val="00F35973"/>
    <w:rsid w:val="00F82CDB"/>
    <w:rsid w:val="00FA0176"/>
    <w:rsid w:val="00F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559"/>
  </w:style>
  <w:style w:type="paragraph" w:styleId="Footer">
    <w:name w:val="footer"/>
    <w:basedOn w:val="Normal"/>
    <w:link w:val="FooterChar"/>
    <w:uiPriority w:val="99"/>
    <w:unhideWhenUsed/>
    <w:rsid w:val="002B7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559"/>
  </w:style>
  <w:style w:type="character" w:customStyle="1" w:styleId="title-text">
    <w:name w:val="title-text"/>
    <w:basedOn w:val="DefaultParagraphFont"/>
    <w:rsid w:val="00FA0176"/>
  </w:style>
  <w:style w:type="character" w:styleId="CommentReference">
    <w:name w:val="annotation reference"/>
    <w:basedOn w:val="DefaultParagraphFont"/>
    <w:uiPriority w:val="99"/>
    <w:semiHidden/>
    <w:unhideWhenUsed/>
    <w:rsid w:val="00203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D2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D15F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D15F2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951C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559"/>
  </w:style>
  <w:style w:type="paragraph" w:styleId="Footer">
    <w:name w:val="footer"/>
    <w:basedOn w:val="Normal"/>
    <w:link w:val="FooterChar"/>
    <w:uiPriority w:val="99"/>
    <w:unhideWhenUsed/>
    <w:rsid w:val="002B7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559"/>
  </w:style>
  <w:style w:type="character" w:customStyle="1" w:styleId="title-text">
    <w:name w:val="title-text"/>
    <w:basedOn w:val="DefaultParagraphFont"/>
    <w:rsid w:val="00FA0176"/>
  </w:style>
  <w:style w:type="character" w:styleId="CommentReference">
    <w:name w:val="annotation reference"/>
    <w:basedOn w:val="DefaultParagraphFont"/>
    <w:uiPriority w:val="99"/>
    <w:semiHidden/>
    <w:unhideWhenUsed/>
    <w:rsid w:val="00203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D2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D15F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D15F2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951C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91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1288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2323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9" w:color="EBEBEB"/>
                                <w:right w:val="none" w:sz="0" w:space="0" w:color="auto"/>
                              </w:divBdr>
                              <w:divsChild>
                                <w:div w:id="4029902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ike.hollinshead@srft.nhs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tin.howarth@srf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1979D-2F75-42A6-BEE7-2877E498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Royal NHS Foundation Trust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Howarth Martin</dc:creator>
  <cp:lastModifiedBy>Howarth Martin</cp:lastModifiedBy>
  <cp:revision>16</cp:revision>
  <cp:lastPrinted>2019-04-29T13:51:00Z</cp:lastPrinted>
  <dcterms:created xsi:type="dcterms:W3CDTF">2019-06-17T13:38:00Z</dcterms:created>
  <dcterms:modified xsi:type="dcterms:W3CDTF">2019-06-26T14:19:00Z</dcterms:modified>
</cp:coreProperties>
</file>