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BA8" w:rsidRPr="004D7BA8" w:rsidRDefault="004D7BA8" w:rsidP="004D7BA8">
      <w:pPr>
        <w:pStyle w:val="Body1"/>
        <w:rPr>
          <w:rFonts w:ascii="Arial" w:hAnsi="Arial" w:cs="Arial"/>
          <w:b/>
        </w:rPr>
      </w:pPr>
      <w:proofErr w:type="gramStart"/>
      <w:r w:rsidRPr="004D7BA8">
        <w:rPr>
          <w:rFonts w:ascii="Arial" w:hAnsi="Arial" w:cs="Arial"/>
          <w:b/>
          <w:sz w:val="28"/>
          <w:szCs w:val="28"/>
          <w:u w:val="single"/>
        </w:rPr>
        <w:t>Analgesia for major abdominal surgery – the way forward</w:t>
      </w:r>
      <w:r w:rsidRPr="004D7BA8">
        <w:rPr>
          <w:rFonts w:ascii="Arial" w:hAnsi="Arial" w:cs="Arial"/>
          <w:b/>
        </w:rPr>
        <w:t>.</w:t>
      </w:r>
      <w:proofErr w:type="gramEnd"/>
    </w:p>
    <w:p w:rsidR="004D7BA8" w:rsidRPr="004D7BA8" w:rsidRDefault="004D7BA8" w:rsidP="004D7BA8">
      <w:pPr>
        <w:pStyle w:val="Body1"/>
        <w:rPr>
          <w:rFonts w:ascii="Arial" w:hAnsi="Arial" w:cs="Arial"/>
          <w:b/>
        </w:rPr>
      </w:pPr>
      <w:r w:rsidRPr="004D7BA8">
        <w:rPr>
          <w:rFonts w:ascii="Arial" w:hAnsi="Arial" w:cs="Arial"/>
          <w:b/>
        </w:rPr>
        <w:t>Dr Anton Krige</w:t>
      </w:r>
    </w:p>
    <w:p w:rsidR="004D7BA8" w:rsidRPr="004D7BA8" w:rsidRDefault="004D7BA8" w:rsidP="004D7BA8">
      <w:pPr>
        <w:pStyle w:val="Body1"/>
        <w:rPr>
          <w:rFonts w:ascii="Arial" w:hAnsi="Arial" w:cs="Arial"/>
          <w:b/>
        </w:rPr>
      </w:pPr>
    </w:p>
    <w:p w:rsidR="004D7BA8" w:rsidRPr="008F6B89" w:rsidRDefault="004D7BA8" w:rsidP="004D7BA8">
      <w:pPr>
        <w:pStyle w:val="Body1"/>
        <w:jc w:val="both"/>
        <w:rPr>
          <w:rFonts w:ascii="Arial" w:hAnsi="Arial" w:cs="Arial"/>
          <w:szCs w:val="24"/>
        </w:rPr>
      </w:pPr>
      <w:r w:rsidRPr="008F6B89">
        <w:rPr>
          <w:rFonts w:ascii="Arial" w:hAnsi="Arial" w:cs="Arial"/>
          <w:szCs w:val="24"/>
        </w:rPr>
        <w:t xml:space="preserve">I will examine emerging approaches to acute pain management for major abdominal surgery, which for the purposes of this talk I will confine to major upper GI, lower GI, </w:t>
      </w:r>
      <w:proofErr w:type="spellStart"/>
      <w:r w:rsidRPr="008F6B89">
        <w:rPr>
          <w:rFonts w:ascii="Arial" w:hAnsi="Arial" w:cs="Arial"/>
          <w:szCs w:val="24"/>
        </w:rPr>
        <w:t>hepatobiliary</w:t>
      </w:r>
      <w:proofErr w:type="spellEnd"/>
      <w:r w:rsidRPr="008F6B89">
        <w:rPr>
          <w:rFonts w:ascii="Arial" w:hAnsi="Arial" w:cs="Arial"/>
          <w:szCs w:val="24"/>
        </w:rPr>
        <w:t xml:space="preserve"> and urological surgery (radical </w:t>
      </w:r>
      <w:proofErr w:type="spellStart"/>
      <w:r w:rsidRPr="008F6B89">
        <w:rPr>
          <w:rFonts w:ascii="Arial" w:hAnsi="Arial" w:cs="Arial"/>
          <w:szCs w:val="24"/>
        </w:rPr>
        <w:t>cystectomy</w:t>
      </w:r>
      <w:proofErr w:type="spellEnd"/>
      <w:r w:rsidRPr="008F6B89">
        <w:rPr>
          <w:rFonts w:ascii="Arial" w:hAnsi="Arial" w:cs="Arial"/>
          <w:szCs w:val="24"/>
        </w:rPr>
        <w:t>) but excluding major gynaecological surgery (intermediate stress response for the most part) and major vascular surgery which has unique issues.</w:t>
      </w:r>
    </w:p>
    <w:p w:rsidR="004D7BA8" w:rsidRPr="008F6B89" w:rsidRDefault="004D7BA8" w:rsidP="004D7BA8">
      <w:pPr>
        <w:pStyle w:val="Body1"/>
        <w:jc w:val="both"/>
        <w:rPr>
          <w:rFonts w:ascii="Arial" w:hAnsi="Arial" w:cs="Arial"/>
          <w:szCs w:val="24"/>
        </w:rPr>
      </w:pPr>
    </w:p>
    <w:p w:rsidR="004D7BA8" w:rsidRPr="008F6B89" w:rsidRDefault="004D7BA8" w:rsidP="004D7BA8">
      <w:pPr>
        <w:pStyle w:val="Body1"/>
        <w:jc w:val="both"/>
        <w:rPr>
          <w:rFonts w:ascii="Arial" w:hAnsi="Arial" w:cs="Arial"/>
          <w:szCs w:val="24"/>
        </w:rPr>
      </w:pPr>
      <w:r w:rsidRPr="008F6B89">
        <w:rPr>
          <w:rFonts w:ascii="Arial" w:hAnsi="Arial" w:cs="Arial"/>
          <w:szCs w:val="24"/>
        </w:rPr>
        <w:t>Such discussions are usually confined to the elective surgical population however non-elective surgery remains a large proportion of total surgical volume e.g. 20% of all major colorectal cancer present as non-elective cases [1].</w:t>
      </w:r>
    </w:p>
    <w:p w:rsidR="004D7BA8" w:rsidRPr="008F6B89" w:rsidRDefault="004D7BA8" w:rsidP="004D7BA8">
      <w:pPr>
        <w:pStyle w:val="Body1"/>
        <w:jc w:val="both"/>
        <w:rPr>
          <w:rFonts w:ascii="Arial" w:hAnsi="Arial" w:cs="Arial"/>
          <w:szCs w:val="24"/>
        </w:rPr>
      </w:pPr>
    </w:p>
    <w:p w:rsidR="004D7BA8" w:rsidRPr="008F6B89" w:rsidRDefault="004D7BA8" w:rsidP="004D7BA8">
      <w:pPr>
        <w:pStyle w:val="Body1"/>
        <w:jc w:val="both"/>
        <w:rPr>
          <w:rFonts w:ascii="Arial" w:hAnsi="Arial" w:cs="Arial"/>
          <w:szCs w:val="24"/>
        </w:rPr>
      </w:pPr>
      <w:r w:rsidRPr="008F6B89">
        <w:rPr>
          <w:rFonts w:ascii="Arial" w:hAnsi="Arial" w:cs="Arial"/>
          <w:szCs w:val="24"/>
        </w:rPr>
        <w:t>The ERAS [2</w:t>
      </w:r>
      <w:proofErr w:type="gramStart"/>
      <w:r w:rsidRPr="008F6B89">
        <w:rPr>
          <w:rFonts w:ascii="Arial" w:hAnsi="Arial" w:cs="Arial"/>
          <w:szCs w:val="24"/>
        </w:rPr>
        <w:t>,3</w:t>
      </w:r>
      <w:proofErr w:type="gramEnd"/>
      <w:r w:rsidRPr="008F6B89">
        <w:rPr>
          <w:rFonts w:ascii="Arial" w:hAnsi="Arial" w:cs="Arial"/>
          <w:szCs w:val="24"/>
        </w:rPr>
        <w:t>] approach is now accepted practice with the central paradigm of attenuation of the stress response, early nutrition and early mobilisation. Fluid management and acute pain management are pivotal to these processes with the latter two inextricably linked.</w:t>
      </w:r>
    </w:p>
    <w:p w:rsidR="004D7BA8" w:rsidRPr="008F6B89" w:rsidRDefault="004D7BA8" w:rsidP="004D7BA8">
      <w:pPr>
        <w:pStyle w:val="Body1"/>
        <w:jc w:val="both"/>
        <w:rPr>
          <w:rFonts w:ascii="Arial" w:hAnsi="Arial" w:cs="Arial"/>
          <w:szCs w:val="24"/>
        </w:rPr>
      </w:pPr>
      <w:r w:rsidRPr="008F6B89">
        <w:rPr>
          <w:rFonts w:ascii="Arial" w:hAnsi="Arial" w:cs="Arial"/>
          <w:szCs w:val="24"/>
        </w:rPr>
        <w:t>Importantly, as many elements of the ERAS protocol as possible should also be applied to our non-elective cases [4]. These patients suffer significantly worse outcomes (e.g. our recent elective colorectal mortality is 0.4% whereas our non-elective mortality is 13.5%, with mean length of stay is 7 days and 26 days respectively) but are disadvantaged by often receiving inferior acute pain management i.e. high dose systemic opiate.</w:t>
      </w:r>
    </w:p>
    <w:p w:rsidR="004D7BA8" w:rsidRPr="008F6B89" w:rsidRDefault="004D7BA8" w:rsidP="004D7BA8">
      <w:pPr>
        <w:pStyle w:val="Body1"/>
        <w:jc w:val="both"/>
        <w:rPr>
          <w:rFonts w:ascii="Arial" w:hAnsi="Arial" w:cs="Arial"/>
          <w:szCs w:val="24"/>
        </w:rPr>
      </w:pPr>
      <w:r w:rsidRPr="008F6B89">
        <w:rPr>
          <w:rFonts w:ascii="Arial" w:hAnsi="Arial" w:cs="Arial"/>
          <w:szCs w:val="24"/>
        </w:rPr>
        <w:t xml:space="preserve">For the purposes of discussion it is accepted that all patients receive standardised balance simple analgesia to include </w:t>
      </w:r>
      <w:proofErr w:type="spellStart"/>
      <w:r w:rsidRPr="008F6B89">
        <w:rPr>
          <w:rFonts w:ascii="Arial" w:hAnsi="Arial" w:cs="Arial"/>
          <w:szCs w:val="24"/>
        </w:rPr>
        <w:t>paracetamol</w:t>
      </w:r>
      <w:proofErr w:type="spellEnd"/>
      <w:r w:rsidRPr="008F6B89">
        <w:rPr>
          <w:rFonts w:ascii="Arial" w:hAnsi="Arial" w:cs="Arial"/>
          <w:szCs w:val="24"/>
        </w:rPr>
        <w:t xml:space="preserve"> and NSAIDS </w:t>
      </w:r>
      <w:proofErr w:type="spellStart"/>
      <w:r w:rsidRPr="008F6B89">
        <w:rPr>
          <w:rFonts w:ascii="Arial" w:hAnsi="Arial" w:cs="Arial"/>
          <w:szCs w:val="24"/>
        </w:rPr>
        <w:t>where</w:t>
      </w:r>
      <w:proofErr w:type="spellEnd"/>
      <w:r w:rsidRPr="008F6B89">
        <w:rPr>
          <w:rFonts w:ascii="Arial" w:hAnsi="Arial" w:cs="Arial"/>
          <w:szCs w:val="24"/>
        </w:rPr>
        <w:t xml:space="preserve"> not contraindicated. Increasingly </w:t>
      </w:r>
      <w:proofErr w:type="spellStart"/>
      <w:r w:rsidRPr="008F6B89">
        <w:rPr>
          <w:rFonts w:ascii="Arial" w:hAnsi="Arial" w:cs="Arial"/>
          <w:szCs w:val="24"/>
        </w:rPr>
        <w:t>gapapentinoids</w:t>
      </w:r>
      <w:proofErr w:type="spellEnd"/>
      <w:r w:rsidRPr="008F6B89">
        <w:rPr>
          <w:rFonts w:ascii="Arial" w:hAnsi="Arial" w:cs="Arial"/>
          <w:szCs w:val="24"/>
        </w:rPr>
        <w:t xml:space="preserve"> have been added to this regime. Alongside this a standardised balanced </w:t>
      </w:r>
      <w:proofErr w:type="spellStart"/>
      <w:r w:rsidRPr="008F6B89">
        <w:rPr>
          <w:rFonts w:ascii="Arial" w:hAnsi="Arial" w:cs="Arial"/>
          <w:szCs w:val="24"/>
        </w:rPr>
        <w:t>antiemesis</w:t>
      </w:r>
      <w:proofErr w:type="spellEnd"/>
      <w:r w:rsidRPr="008F6B89">
        <w:rPr>
          <w:rFonts w:ascii="Arial" w:hAnsi="Arial" w:cs="Arial"/>
          <w:szCs w:val="24"/>
        </w:rPr>
        <w:t xml:space="preserve"> strategy, including rescue </w:t>
      </w:r>
      <w:proofErr w:type="spellStart"/>
      <w:r w:rsidRPr="008F6B89">
        <w:rPr>
          <w:rFonts w:ascii="Arial" w:hAnsi="Arial" w:cs="Arial"/>
          <w:szCs w:val="24"/>
        </w:rPr>
        <w:t>antiemetics</w:t>
      </w:r>
      <w:proofErr w:type="spellEnd"/>
      <w:r w:rsidRPr="008F6B89">
        <w:rPr>
          <w:rFonts w:ascii="Arial" w:hAnsi="Arial" w:cs="Arial"/>
          <w:szCs w:val="24"/>
        </w:rPr>
        <w:t xml:space="preserve">, is crucial to achieve the key </w:t>
      </w:r>
      <w:proofErr w:type="spellStart"/>
      <w:r w:rsidRPr="008F6B89">
        <w:rPr>
          <w:rFonts w:ascii="Arial" w:hAnsi="Arial" w:cs="Arial"/>
          <w:szCs w:val="24"/>
        </w:rPr>
        <w:t>trimodal</w:t>
      </w:r>
      <w:proofErr w:type="spellEnd"/>
      <w:r w:rsidRPr="008F6B89">
        <w:rPr>
          <w:rFonts w:ascii="Arial" w:hAnsi="Arial" w:cs="Arial"/>
          <w:szCs w:val="24"/>
        </w:rPr>
        <w:t xml:space="preserve"> elements above, as the prevalence and severity of prolonged PONV is usually underestimated in this cohort.</w:t>
      </w:r>
    </w:p>
    <w:p w:rsidR="004D7BA8" w:rsidRPr="008F6B89" w:rsidRDefault="004D7BA8" w:rsidP="004D7BA8">
      <w:pPr>
        <w:pStyle w:val="Body1"/>
        <w:jc w:val="both"/>
        <w:rPr>
          <w:rFonts w:ascii="Arial" w:hAnsi="Arial" w:cs="Arial"/>
          <w:szCs w:val="24"/>
        </w:rPr>
      </w:pPr>
    </w:p>
    <w:p w:rsidR="004D7BA8" w:rsidRPr="008F6B89" w:rsidRDefault="004D7BA8" w:rsidP="004D7BA8">
      <w:pPr>
        <w:pStyle w:val="Body1"/>
        <w:jc w:val="both"/>
        <w:rPr>
          <w:rFonts w:ascii="Arial" w:hAnsi="Arial" w:cs="Arial"/>
          <w:szCs w:val="24"/>
        </w:rPr>
      </w:pPr>
      <w:r w:rsidRPr="008F6B89">
        <w:rPr>
          <w:rFonts w:ascii="Arial" w:hAnsi="Arial" w:cs="Arial"/>
          <w:szCs w:val="24"/>
        </w:rPr>
        <w:t xml:space="preserve">While acute pain management has evolved over the past 25 years for elective surgery application of the same advances have been slower for emergency surgery. There are many possible reasons for this including a greater presence of contraindications to </w:t>
      </w:r>
      <w:proofErr w:type="spellStart"/>
      <w:r w:rsidRPr="008F6B89">
        <w:rPr>
          <w:rFonts w:ascii="Arial" w:hAnsi="Arial" w:cs="Arial"/>
          <w:szCs w:val="24"/>
        </w:rPr>
        <w:t>neuraxial</w:t>
      </w:r>
      <w:proofErr w:type="spellEnd"/>
      <w:r w:rsidRPr="008F6B89">
        <w:rPr>
          <w:rFonts w:ascii="Arial" w:hAnsi="Arial" w:cs="Arial"/>
          <w:szCs w:val="24"/>
        </w:rPr>
        <w:t xml:space="preserve"> blocks e.g. sepsis and </w:t>
      </w:r>
      <w:proofErr w:type="spellStart"/>
      <w:r w:rsidRPr="008F6B89">
        <w:rPr>
          <w:rFonts w:ascii="Arial" w:hAnsi="Arial" w:cs="Arial"/>
          <w:szCs w:val="24"/>
        </w:rPr>
        <w:t>haemodynamic</w:t>
      </w:r>
      <w:proofErr w:type="spellEnd"/>
      <w:r w:rsidRPr="008F6B89">
        <w:rPr>
          <w:rFonts w:ascii="Arial" w:hAnsi="Arial" w:cs="Arial"/>
          <w:szCs w:val="24"/>
        </w:rPr>
        <w:t xml:space="preserve"> instability, less availability of the required skill set for more advanced techniques and the slow uptake of new techniques in medicine with initial implementation in the more controlled elective environment. Randomised trials of acute pain interventions are universally performed in elective surgery due to the perceived complexity of recruiting patients and assessing outcomes in non-elective surgery.</w:t>
      </w:r>
    </w:p>
    <w:p w:rsidR="004D7BA8" w:rsidRPr="008F6B89" w:rsidRDefault="004D7BA8" w:rsidP="004D7BA8">
      <w:pPr>
        <w:pStyle w:val="Body1"/>
        <w:jc w:val="both"/>
        <w:rPr>
          <w:rFonts w:ascii="Arial" w:hAnsi="Arial" w:cs="Arial"/>
          <w:szCs w:val="24"/>
        </w:rPr>
      </w:pPr>
    </w:p>
    <w:p w:rsidR="004D7BA8" w:rsidRPr="008F6B89" w:rsidRDefault="004D7BA8" w:rsidP="004D7BA8">
      <w:pPr>
        <w:pStyle w:val="Body1"/>
        <w:jc w:val="both"/>
        <w:rPr>
          <w:rFonts w:ascii="Arial" w:hAnsi="Arial" w:cs="Arial"/>
          <w:szCs w:val="24"/>
        </w:rPr>
      </w:pPr>
      <w:r w:rsidRPr="008F6B89">
        <w:rPr>
          <w:rFonts w:ascii="Arial" w:hAnsi="Arial" w:cs="Arial"/>
          <w:szCs w:val="24"/>
        </w:rPr>
        <w:t xml:space="preserve">Over the past three decades we have advanced from intramuscular opiate as the sole approach until the advent of patient controlled intravenous analgesia along with the introduction of epidural analgesia in the early nineties. Epidural analgesia was limited to the highest risk patients with post-operative critical care provision until they became more widespread and managed at ward level in the NHS during this century. Early research at the turn of the century </w:t>
      </w:r>
      <w:r w:rsidRPr="008F6B89">
        <w:rPr>
          <w:rFonts w:ascii="Arial" w:hAnsi="Arial" w:cs="Arial"/>
          <w:szCs w:val="24"/>
        </w:rPr>
        <w:lastRenderedPageBreak/>
        <w:t>suggested improved outcomes from epidural analgesia and this drove the aforementioned implementation.</w:t>
      </w:r>
    </w:p>
    <w:p w:rsidR="004D7BA8" w:rsidRPr="008F6B89" w:rsidRDefault="004D7BA8" w:rsidP="004D7BA8">
      <w:pPr>
        <w:pStyle w:val="Body1"/>
        <w:jc w:val="both"/>
        <w:rPr>
          <w:rFonts w:ascii="Arial" w:hAnsi="Arial" w:cs="Arial"/>
          <w:szCs w:val="24"/>
        </w:rPr>
      </w:pPr>
    </w:p>
    <w:p w:rsidR="004D7BA8" w:rsidRPr="008F6B89" w:rsidRDefault="004D7BA8" w:rsidP="004D7BA8">
      <w:pPr>
        <w:pStyle w:val="Body1"/>
        <w:jc w:val="both"/>
        <w:rPr>
          <w:rFonts w:ascii="Arial" w:hAnsi="Arial" w:cs="Arial"/>
          <w:szCs w:val="24"/>
        </w:rPr>
      </w:pPr>
      <w:r w:rsidRPr="008F6B89">
        <w:rPr>
          <w:rFonts w:ascii="Arial" w:hAnsi="Arial" w:cs="Arial"/>
          <w:szCs w:val="24"/>
        </w:rPr>
        <w:t>However the MASTERS trial [5] published in the Lancet in 2002, determined that there was no outcome difference between epidural analgesia and morphine PCA.</w:t>
      </w:r>
    </w:p>
    <w:p w:rsidR="004D7BA8" w:rsidRPr="008F6B89" w:rsidRDefault="004D7BA8" w:rsidP="004D7BA8">
      <w:pPr>
        <w:pStyle w:val="Body1"/>
        <w:jc w:val="both"/>
        <w:rPr>
          <w:rFonts w:ascii="Arial" w:hAnsi="Arial" w:cs="Arial"/>
          <w:szCs w:val="24"/>
        </w:rPr>
      </w:pPr>
      <w:r w:rsidRPr="008F6B89">
        <w:rPr>
          <w:rFonts w:ascii="Arial" w:hAnsi="Arial" w:cs="Arial"/>
          <w:szCs w:val="24"/>
        </w:rPr>
        <w:t>This led to a significant decline in the use of epidurals in Australasia and North America albeit not in the UK.</w:t>
      </w:r>
    </w:p>
    <w:p w:rsidR="004D7BA8" w:rsidRPr="008F6B89" w:rsidRDefault="004D7BA8" w:rsidP="004D7BA8">
      <w:pPr>
        <w:pStyle w:val="Body1"/>
        <w:jc w:val="both"/>
        <w:rPr>
          <w:rFonts w:ascii="Arial" w:hAnsi="Arial" w:cs="Arial"/>
          <w:szCs w:val="24"/>
        </w:rPr>
      </w:pPr>
    </w:p>
    <w:p w:rsidR="004D7BA8" w:rsidRPr="008F6B89" w:rsidRDefault="004D7BA8" w:rsidP="004D7BA8">
      <w:pPr>
        <w:pStyle w:val="Body1"/>
        <w:jc w:val="both"/>
        <w:rPr>
          <w:rFonts w:ascii="Arial" w:hAnsi="Arial" w:cs="Arial"/>
          <w:szCs w:val="24"/>
        </w:rPr>
      </w:pPr>
      <w:r w:rsidRPr="008F6B89">
        <w:rPr>
          <w:rFonts w:ascii="Arial" w:hAnsi="Arial" w:cs="Arial"/>
          <w:szCs w:val="24"/>
        </w:rPr>
        <w:t xml:space="preserve">However at the same time laparoscopic surgery was taking off for many abdominal procedures and small portable high-resolution ultrasound machines were revolutionising anaesthetic procedures. The first modern descriptions of abdominal wall blocks began to be reported in 2001 [6] with </w:t>
      </w:r>
      <w:proofErr w:type="spellStart"/>
      <w:r w:rsidRPr="008F6B89">
        <w:rPr>
          <w:rFonts w:ascii="Arial" w:hAnsi="Arial" w:cs="Arial"/>
          <w:szCs w:val="24"/>
        </w:rPr>
        <w:t>McDonnel</w:t>
      </w:r>
      <w:proofErr w:type="spellEnd"/>
      <w:r w:rsidRPr="008F6B89">
        <w:rPr>
          <w:rFonts w:ascii="Arial" w:hAnsi="Arial" w:cs="Arial"/>
          <w:szCs w:val="24"/>
        </w:rPr>
        <w:t xml:space="preserve"> providing a more detailed description of the landmark approach to the </w:t>
      </w:r>
      <w:proofErr w:type="spellStart"/>
      <w:r w:rsidRPr="008F6B89">
        <w:rPr>
          <w:rFonts w:ascii="Arial" w:hAnsi="Arial" w:cs="Arial"/>
          <w:szCs w:val="24"/>
        </w:rPr>
        <w:t>posterolateral</w:t>
      </w:r>
      <w:proofErr w:type="spellEnd"/>
      <w:r w:rsidRPr="008F6B89">
        <w:rPr>
          <w:rFonts w:ascii="Arial" w:hAnsi="Arial" w:cs="Arial"/>
          <w:szCs w:val="24"/>
        </w:rPr>
        <w:t xml:space="preserve"> TAP block in 2004 [7] and further refined in 2007 [8]. In 2008 Peter </w:t>
      </w:r>
      <w:proofErr w:type="spellStart"/>
      <w:r w:rsidRPr="008F6B89">
        <w:rPr>
          <w:rFonts w:ascii="Arial" w:hAnsi="Arial" w:cs="Arial"/>
          <w:szCs w:val="24"/>
        </w:rPr>
        <w:t>Hebbard</w:t>
      </w:r>
      <w:proofErr w:type="spellEnd"/>
      <w:r w:rsidRPr="008F6B89">
        <w:rPr>
          <w:rFonts w:ascii="Arial" w:hAnsi="Arial" w:cs="Arial"/>
          <w:szCs w:val="24"/>
        </w:rPr>
        <w:t xml:space="preserve"> [9] published the first of several descriptions of ultrasound approaches starting with </w:t>
      </w:r>
      <w:proofErr w:type="spellStart"/>
      <w:r w:rsidRPr="008F6B89">
        <w:rPr>
          <w:rFonts w:ascii="Arial" w:hAnsi="Arial" w:cs="Arial"/>
          <w:szCs w:val="24"/>
        </w:rPr>
        <w:t>subcostal</w:t>
      </w:r>
      <w:proofErr w:type="spellEnd"/>
      <w:r w:rsidRPr="008F6B89">
        <w:rPr>
          <w:rFonts w:ascii="Arial" w:hAnsi="Arial" w:cs="Arial"/>
          <w:szCs w:val="24"/>
        </w:rPr>
        <w:t xml:space="preserve"> TAP blocks and later rectus sheath blocks.</w:t>
      </w:r>
    </w:p>
    <w:p w:rsidR="004D7BA8" w:rsidRPr="008F6B89" w:rsidRDefault="004D7BA8" w:rsidP="004D7BA8">
      <w:pPr>
        <w:pStyle w:val="Body1"/>
        <w:jc w:val="both"/>
        <w:rPr>
          <w:rFonts w:ascii="Arial" w:hAnsi="Arial" w:cs="Arial"/>
          <w:szCs w:val="24"/>
        </w:rPr>
      </w:pPr>
      <w:r w:rsidRPr="008F6B89">
        <w:rPr>
          <w:rFonts w:ascii="Arial" w:hAnsi="Arial" w:cs="Arial"/>
          <w:szCs w:val="24"/>
        </w:rPr>
        <w:t xml:space="preserve">Simultaneously we saw the development of long multi-holed catheters to </w:t>
      </w:r>
      <w:proofErr w:type="spellStart"/>
      <w:r w:rsidRPr="008F6B89">
        <w:rPr>
          <w:rFonts w:ascii="Arial" w:hAnsi="Arial" w:cs="Arial"/>
          <w:szCs w:val="24"/>
        </w:rPr>
        <w:t>delver</w:t>
      </w:r>
      <w:proofErr w:type="spellEnd"/>
      <w:r w:rsidRPr="008F6B89">
        <w:rPr>
          <w:rFonts w:ascii="Arial" w:hAnsi="Arial" w:cs="Arial"/>
          <w:szCs w:val="24"/>
        </w:rPr>
        <w:t xml:space="preserve"> local anaesthetic continuously into the </w:t>
      </w:r>
      <w:proofErr w:type="spellStart"/>
      <w:r w:rsidRPr="008F6B89">
        <w:rPr>
          <w:rFonts w:ascii="Arial" w:hAnsi="Arial" w:cs="Arial"/>
          <w:szCs w:val="24"/>
        </w:rPr>
        <w:t>preperitoneal</w:t>
      </w:r>
      <w:proofErr w:type="spellEnd"/>
      <w:r w:rsidRPr="008F6B89">
        <w:rPr>
          <w:rFonts w:ascii="Arial" w:hAnsi="Arial" w:cs="Arial"/>
          <w:szCs w:val="24"/>
        </w:rPr>
        <w:t xml:space="preserve"> space.</w:t>
      </w:r>
    </w:p>
    <w:p w:rsidR="004D7BA8" w:rsidRPr="008F6B89" w:rsidRDefault="004D7BA8" w:rsidP="004D7BA8">
      <w:pPr>
        <w:pStyle w:val="Body1"/>
        <w:jc w:val="both"/>
        <w:rPr>
          <w:rFonts w:ascii="Arial" w:hAnsi="Arial" w:cs="Arial"/>
          <w:szCs w:val="24"/>
        </w:rPr>
      </w:pPr>
      <w:r w:rsidRPr="008F6B89">
        <w:rPr>
          <w:rFonts w:ascii="Arial" w:hAnsi="Arial" w:cs="Arial"/>
          <w:szCs w:val="24"/>
        </w:rPr>
        <w:t xml:space="preserve">Many of us realised from the mid 2000’s that if spinal </w:t>
      </w:r>
      <w:proofErr w:type="spellStart"/>
      <w:r w:rsidRPr="008F6B89">
        <w:rPr>
          <w:rFonts w:ascii="Arial" w:hAnsi="Arial" w:cs="Arial"/>
          <w:szCs w:val="24"/>
        </w:rPr>
        <w:t>diamorphine</w:t>
      </w:r>
      <w:proofErr w:type="spellEnd"/>
      <w:r w:rsidRPr="008F6B89">
        <w:rPr>
          <w:rFonts w:ascii="Arial" w:hAnsi="Arial" w:cs="Arial"/>
          <w:szCs w:val="24"/>
        </w:rPr>
        <w:t xml:space="preserve"> mixed with </w:t>
      </w:r>
      <w:proofErr w:type="spellStart"/>
      <w:r w:rsidRPr="008F6B89">
        <w:rPr>
          <w:rFonts w:ascii="Arial" w:hAnsi="Arial" w:cs="Arial"/>
          <w:szCs w:val="24"/>
        </w:rPr>
        <w:t>bupivacaine</w:t>
      </w:r>
      <w:proofErr w:type="spellEnd"/>
      <w:r w:rsidRPr="008F6B89">
        <w:rPr>
          <w:rFonts w:ascii="Arial" w:hAnsi="Arial" w:cs="Arial"/>
          <w:szCs w:val="24"/>
        </w:rPr>
        <w:t xml:space="preserve"> could provide adequate analgesia for a caesarean section wound (essentially a low transverse incision) then it should suffice for any other operation utilising such an incision i.e. the majority of laparoscopic major abdominal surgery, radical </w:t>
      </w:r>
      <w:proofErr w:type="spellStart"/>
      <w:r w:rsidRPr="008F6B89">
        <w:rPr>
          <w:rFonts w:ascii="Arial" w:hAnsi="Arial" w:cs="Arial"/>
          <w:szCs w:val="24"/>
        </w:rPr>
        <w:t>prostatectomies</w:t>
      </w:r>
      <w:proofErr w:type="spellEnd"/>
      <w:r w:rsidRPr="008F6B89">
        <w:rPr>
          <w:rFonts w:ascii="Arial" w:hAnsi="Arial" w:cs="Arial"/>
          <w:szCs w:val="24"/>
        </w:rPr>
        <w:t xml:space="preserve"> and now many open major GI operations. Recent publications have corroborated this approach for laparoscopic colorectal surgery [10]. Along the way many hybrid combinations have developed.</w:t>
      </w:r>
    </w:p>
    <w:p w:rsidR="004D7BA8" w:rsidRPr="008F6B89" w:rsidRDefault="004D7BA8" w:rsidP="004D7BA8">
      <w:pPr>
        <w:pStyle w:val="Body1"/>
        <w:jc w:val="both"/>
        <w:rPr>
          <w:rFonts w:ascii="Arial" w:hAnsi="Arial" w:cs="Arial"/>
          <w:szCs w:val="24"/>
        </w:rPr>
      </w:pPr>
    </w:p>
    <w:p w:rsidR="004D7BA8" w:rsidRPr="008F6B89" w:rsidRDefault="004D7BA8" w:rsidP="004D7BA8">
      <w:pPr>
        <w:pStyle w:val="Body1"/>
        <w:jc w:val="both"/>
        <w:rPr>
          <w:rFonts w:ascii="Arial" w:hAnsi="Arial" w:cs="Arial"/>
          <w:szCs w:val="24"/>
        </w:rPr>
      </w:pPr>
      <w:r w:rsidRPr="008F6B89">
        <w:rPr>
          <w:rFonts w:ascii="Arial" w:hAnsi="Arial" w:cs="Arial"/>
          <w:szCs w:val="24"/>
        </w:rPr>
        <w:t>I will attempt to present the current evidence and my common sense approach to targeting the array of available techniques appropriately.</w:t>
      </w:r>
    </w:p>
    <w:p w:rsidR="004D7BA8" w:rsidRPr="008F6B89" w:rsidRDefault="004D7BA8" w:rsidP="004D7BA8">
      <w:pPr>
        <w:pStyle w:val="Body1"/>
        <w:jc w:val="both"/>
        <w:rPr>
          <w:rFonts w:ascii="Arial" w:hAnsi="Arial" w:cs="Arial"/>
          <w:szCs w:val="24"/>
        </w:rPr>
      </w:pPr>
    </w:p>
    <w:p w:rsidR="004D7BA8" w:rsidRPr="008F6B89" w:rsidRDefault="004D7BA8" w:rsidP="004D7BA8">
      <w:pPr>
        <w:pStyle w:val="LightGrid-Accent31"/>
        <w:numPr>
          <w:ilvl w:val="0"/>
          <w:numId w:val="1"/>
        </w:numPr>
        <w:tabs>
          <w:tab w:val="clear" w:pos="720"/>
          <w:tab w:val="num" w:pos="284"/>
        </w:tabs>
        <w:spacing w:after="0" w:line="240" w:lineRule="auto"/>
        <w:ind w:left="284" w:hanging="436"/>
        <w:rPr>
          <w:rFonts w:ascii="Arial" w:hAnsi="Arial" w:cs="Arial"/>
          <w:sz w:val="24"/>
          <w:szCs w:val="24"/>
        </w:rPr>
      </w:pPr>
      <w:r w:rsidRPr="008F6B89">
        <w:rPr>
          <w:rFonts w:ascii="Arial" w:hAnsi="Arial" w:cs="Arial"/>
          <w:sz w:val="24"/>
          <w:szCs w:val="24"/>
        </w:rPr>
        <w:t xml:space="preserve">Scott N, Smith J and Hill J: </w:t>
      </w:r>
      <w:r w:rsidRPr="008F6B89">
        <w:rPr>
          <w:rFonts w:ascii="Arial" w:hAnsi="Arial" w:cs="Arial"/>
          <w:b/>
          <w:sz w:val="24"/>
          <w:szCs w:val="24"/>
        </w:rPr>
        <w:t>National Bowel Cancer Audit Annual Report 2013</w:t>
      </w:r>
      <w:r w:rsidRPr="008F6B89">
        <w:rPr>
          <w:rFonts w:ascii="Arial" w:hAnsi="Arial" w:cs="Arial"/>
          <w:sz w:val="24"/>
          <w:szCs w:val="24"/>
        </w:rPr>
        <w:t xml:space="preserve"> [http://www.hscic.gov.uk/catalogue/PUB11105/nati-clin-audi-supp-prog-bowe-canc-2013-rep1.pdf].</w:t>
      </w:r>
    </w:p>
    <w:p w:rsidR="004D7BA8" w:rsidRPr="008F6B89" w:rsidRDefault="004D7BA8" w:rsidP="004D7BA8">
      <w:pPr>
        <w:pStyle w:val="LightGrid-Accent31"/>
        <w:numPr>
          <w:ilvl w:val="0"/>
          <w:numId w:val="1"/>
        </w:numPr>
        <w:tabs>
          <w:tab w:val="clear" w:pos="720"/>
          <w:tab w:val="num" w:pos="284"/>
        </w:tabs>
        <w:spacing w:after="0" w:line="240" w:lineRule="auto"/>
        <w:ind w:left="284" w:hanging="436"/>
        <w:rPr>
          <w:rFonts w:ascii="Arial" w:hAnsi="Arial" w:cs="Arial"/>
          <w:sz w:val="24"/>
          <w:szCs w:val="24"/>
        </w:rPr>
      </w:pPr>
      <w:proofErr w:type="spellStart"/>
      <w:r w:rsidRPr="008F6B89">
        <w:rPr>
          <w:rFonts w:ascii="Arial" w:hAnsi="Arial" w:cs="Arial"/>
          <w:sz w:val="24"/>
          <w:szCs w:val="24"/>
        </w:rPr>
        <w:t>Gustafsson</w:t>
      </w:r>
      <w:proofErr w:type="spellEnd"/>
      <w:r w:rsidRPr="008F6B89">
        <w:rPr>
          <w:rFonts w:ascii="Arial" w:hAnsi="Arial" w:cs="Arial"/>
          <w:sz w:val="24"/>
          <w:szCs w:val="24"/>
        </w:rPr>
        <w:t xml:space="preserve"> U, Scott M,</w:t>
      </w:r>
      <w:r w:rsidRPr="008F6B89">
        <w:rPr>
          <w:rFonts w:ascii="Arial" w:hAnsi="Arial" w:cs="Arial"/>
          <w:position w:val="2"/>
          <w:sz w:val="24"/>
          <w:szCs w:val="24"/>
        </w:rPr>
        <w:t xml:space="preserve"> </w:t>
      </w:r>
      <w:proofErr w:type="spellStart"/>
      <w:proofErr w:type="gramStart"/>
      <w:r w:rsidRPr="008F6B89">
        <w:rPr>
          <w:rFonts w:ascii="Arial" w:hAnsi="Arial" w:cs="Arial"/>
          <w:sz w:val="24"/>
          <w:szCs w:val="24"/>
        </w:rPr>
        <w:t>Schwenk</w:t>
      </w:r>
      <w:proofErr w:type="spellEnd"/>
      <w:proofErr w:type="gramEnd"/>
      <w:r w:rsidRPr="008F6B89">
        <w:rPr>
          <w:rFonts w:ascii="Arial" w:hAnsi="Arial" w:cs="Arial"/>
          <w:sz w:val="24"/>
          <w:szCs w:val="24"/>
        </w:rPr>
        <w:t xml:space="preserve"> M, et al.</w:t>
      </w:r>
      <w:r w:rsidRPr="008F6B89">
        <w:rPr>
          <w:rFonts w:ascii="Arial" w:hAnsi="Arial" w:cs="Arial"/>
          <w:position w:val="2"/>
          <w:sz w:val="24"/>
          <w:szCs w:val="24"/>
        </w:rPr>
        <w:t xml:space="preserve"> </w:t>
      </w:r>
      <w:r w:rsidRPr="008F6B89">
        <w:rPr>
          <w:rFonts w:ascii="Arial" w:hAnsi="Arial" w:cs="Arial"/>
          <w:sz w:val="24"/>
          <w:szCs w:val="24"/>
        </w:rPr>
        <w:t xml:space="preserve">Guidelines for </w:t>
      </w:r>
      <w:proofErr w:type="spellStart"/>
      <w:r w:rsidRPr="008F6B89">
        <w:rPr>
          <w:rFonts w:ascii="Arial" w:hAnsi="Arial" w:cs="Arial"/>
          <w:sz w:val="24"/>
          <w:szCs w:val="24"/>
        </w:rPr>
        <w:t>Perioperative</w:t>
      </w:r>
      <w:proofErr w:type="spellEnd"/>
      <w:r w:rsidRPr="008F6B89">
        <w:rPr>
          <w:rFonts w:ascii="Arial" w:hAnsi="Arial" w:cs="Arial"/>
          <w:sz w:val="24"/>
          <w:szCs w:val="24"/>
        </w:rPr>
        <w:t xml:space="preserve"> Care in Elective Colonic Surgery: Enhanced Recovery After Surgery (ERASÒ) Society Recommendations. World J </w:t>
      </w:r>
      <w:proofErr w:type="spellStart"/>
      <w:r w:rsidRPr="008F6B89">
        <w:rPr>
          <w:rFonts w:ascii="Arial" w:hAnsi="Arial" w:cs="Arial"/>
          <w:sz w:val="24"/>
          <w:szCs w:val="24"/>
        </w:rPr>
        <w:t>Surg</w:t>
      </w:r>
      <w:proofErr w:type="spellEnd"/>
      <w:r w:rsidRPr="008F6B89">
        <w:rPr>
          <w:rFonts w:ascii="Arial" w:hAnsi="Arial" w:cs="Arial"/>
          <w:sz w:val="24"/>
          <w:szCs w:val="24"/>
        </w:rPr>
        <w:t xml:space="preserve"> (2013) 37:259–284</w:t>
      </w:r>
    </w:p>
    <w:p w:rsidR="004D7BA8" w:rsidRPr="008F6B89" w:rsidRDefault="004D7BA8" w:rsidP="004D7BA8">
      <w:pPr>
        <w:pStyle w:val="LightGrid-Accent31"/>
        <w:numPr>
          <w:ilvl w:val="0"/>
          <w:numId w:val="1"/>
        </w:numPr>
        <w:tabs>
          <w:tab w:val="clear" w:pos="720"/>
          <w:tab w:val="num" w:pos="284"/>
        </w:tabs>
        <w:spacing w:after="0" w:line="240" w:lineRule="auto"/>
        <w:ind w:left="284" w:hanging="436"/>
        <w:rPr>
          <w:rFonts w:ascii="Arial" w:hAnsi="Arial" w:cs="Arial"/>
          <w:sz w:val="24"/>
          <w:szCs w:val="24"/>
        </w:rPr>
      </w:pPr>
      <w:proofErr w:type="spellStart"/>
      <w:r w:rsidRPr="008F6B89">
        <w:rPr>
          <w:rFonts w:ascii="Arial" w:hAnsi="Arial" w:cs="Arial"/>
          <w:sz w:val="24"/>
          <w:szCs w:val="24"/>
        </w:rPr>
        <w:t>Nygren</w:t>
      </w:r>
      <w:proofErr w:type="spellEnd"/>
      <w:r w:rsidRPr="008F6B89">
        <w:rPr>
          <w:rFonts w:ascii="Arial" w:hAnsi="Arial" w:cs="Arial"/>
          <w:sz w:val="24"/>
          <w:szCs w:val="24"/>
        </w:rPr>
        <w:t xml:space="preserve"> J,</w:t>
      </w:r>
      <w:r w:rsidRPr="008F6B89">
        <w:rPr>
          <w:rFonts w:ascii="Arial" w:hAnsi="Arial" w:cs="Arial"/>
          <w:position w:val="2"/>
          <w:sz w:val="24"/>
          <w:szCs w:val="24"/>
        </w:rPr>
        <w:t xml:space="preserve"> </w:t>
      </w:r>
      <w:r w:rsidRPr="008F6B89">
        <w:rPr>
          <w:rFonts w:ascii="Arial" w:hAnsi="Arial" w:cs="Arial"/>
          <w:sz w:val="24"/>
          <w:szCs w:val="24"/>
        </w:rPr>
        <w:t>Thacker J,</w:t>
      </w:r>
      <w:r w:rsidRPr="008F6B89">
        <w:rPr>
          <w:rFonts w:ascii="Arial" w:hAnsi="Arial" w:cs="Arial"/>
          <w:position w:val="2"/>
          <w:sz w:val="24"/>
          <w:szCs w:val="24"/>
        </w:rPr>
        <w:t xml:space="preserve"> </w:t>
      </w:r>
      <w:proofErr w:type="spellStart"/>
      <w:r w:rsidRPr="008F6B89">
        <w:rPr>
          <w:rFonts w:ascii="Arial" w:hAnsi="Arial" w:cs="Arial"/>
          <w:sz w:val="24"/>
          <w:szCs w:val="24"/>
        </w:rPr>
        <w:t>Carli</w:t>
      </w:r>
      <w:proofErr w:type="spellEnd"/>
      <w:r w:rsidRPr="008F6B89">
        <w:rPr>
          <w:rFonts w:ascii="Arial" w:hAnsi="Arial" w:cs="Arial"/>
          <w:sz w:val="24"/>
          <w:szCs w:val="24"/>
        </w:rPr>
        <w:t xml:space="preserve"> F et al. Guidelines for </w:t>
      </w:r>
      <w:proofErr w:type="spellStart"/>
      <w:r w:rsidRPr="008F6B89">
        <w:rPr>
          <w:rFonts w:ascii="Arial" w:hAnsi="Arial" w:cs="Arial"/>
          <w:sz w:val="24"/>
          <w:szCs w:val="24"/>
        </w:rPr>
        <w:t>Perioperative</w:t>
      </w:r>
      <w:proofErr w:type="spellEnd"/>
      <w:r w:rsidRPr="008F6B89">
        <w:rPr>
          <w:rFonts w:ascii="Arial" w:hAnsi="Arial" w:cs="Arial"/>
          <w:sz w:val="24"/>
          <w:szCs w:val="24"/>
        </w:rPr>
        <w:t xml:space="preserve"> Care in Elective Rectal/Pelvic Surgery: Enhanced Recovery After Surgery (ERASÒ) Society Recommendations. World J </w:t>
      </w:r>
      <w:proofErr w:type="spellStart"/>
      <w:r w:rsidRPr="008F6B89">
        <w:rPr>
          <w:rFonts w:ascii="Arial" w:hAnsi="Arial" w:cs="Arial"/>
          <w:sz w:val="24"/>
          <w:szCs w:val="24"/>
        </w:rPr>
        <w:t>Surg</w:t>
      </w:r>
      <w:proofErr w:type="spellEnd"/>
      <w:r w:rsidRPr="008F6B89">
        <w:rPr>
          <w:rFonts w:ascii="Arial" w:hAnsi="Arial" w:cs="Arial"/>
          <w:sz w:val="24"/>
          <w:szCs w:val="24"/>
        </w:rPr>
        <w:t xml:space="preserve"> (2013) 37:285–305</w:t>
      </w:r>
    </w:p>
    <w:p w:rsidR="004D7BA8" w:rsidRPr="008F6B89" w:rsidRDefault="004D7BA8" w:rsidP="004D7BA8">
      <w:pPr>
        <w:pStyle w:val="LightGrid-Accent31"/>
        <w:numPr>
          <w:ilvl w:val="0"/>
          <w:numId w:val="1"/>
        </w:numPr>
        <w:tabs>
          <w:tab w:val="clear" w:pos="720"/>
          <w:tab w:val="num" w:pos="284"/>
        </w:tabs>
        <w:spacing w:after="0" w:line="240" w:lineRule="auto"/>
        <w:ind w:left="284" w:hanging="436"/>
        <w:rPr>
          <w:rFonts w:ascii="Arial" w:hAnsi="Arial" w:cs="Arial"/>
          <w:sz w:val="24"/>
          <w:szCs w:val="24"/>
        </w:rPr>
      </w:pPr>
      <w:r w:rsidRPr="008F6B89">
        <w:rPr>
          <w:rFonts w:ascii="Arial" w:hAnsi="Arial" w:cs="Arial"/>
          <w:sz w:val="24"/>
          <w:szCs w:val="24"/>
        </w:rPr>
        <w:t xml:space="preserve">Khan S, </w:t>
      </w:r>
      <w:proofErr w:type="spellStart"/>
      <w:r w:rsidRPr="008F6B89">
        <w:rPr>
          <w:rFonts w:ascii="Arial" w:hAnsi="Arial" w:cs="Arial"/>
          <w:sz w:val="24"/>
          <w:szCs w:val="24"/>
        </w:rPr>
        <w:t>Gatt</w:t>
      </w:r>
      <w:proofErr w:type="spellEnd"/>
      <w:r w:rsidRPr="008F6B89">
        <w:rPr>
          <w:rFonts w:ascii="Arial" w:hAnsi="Arial" w:cs="Arial"/>
          <w:sz w:val="24"/>
          <w:szCs w:val="24"/>
        </w:rPr>
        <w:t xml:space="preserve"> M, </w:t>
      </w:r>
      <w:proofErr w:type="spellStart"/>
      <w:r w:rsidRPr="008F6B89">
        <w:rPr>
          <w:rFonts w:ascii="Arial" w:hAnsi="Arial" w:cs="Arial"/>
          <w:sz w:val="24"/>
          <w:szCs w:val="24"/>
        </w:rPr>
        <w:t>Horgan</w:t>
      </w:r>
      <w:proofErr w:type="spellEnd"/>
      <w:r w:rsidRPr="008F6B89">
        <w:rPr>
          <w:rFonts w:ascii="Arial" w:hAnsi="Arial" w:cs="Arial"/>
          <w:sz w:val="24"/>
          <w:szCs w:val="24"/>
        </w:rPr>
        <w:t xml:space="preserve"> </w:t>
      </w:r>
      <w:proofErr w:type="gramStart"/>
      <w:r w:rsidRPr="008F6B89">
        <w:rPr>
          <w:rFonts w:ascii="Arial" w:hAnsi="Arial" w:cs="Arial"/>
          <w:sz w:val="24"/>
          <w:szCs w:val="24"/>
        </w:rPr>
        <w:t>A</w:t>
      </w:r>
      <w:proofErr w:type="gramEnd"/>
      <w:r w:rsidRPr="008F6B89">
        <w:rPr>
          <w:rFonts w:ascii="Arial" w:hAnsi="Arial" w:cs="Arial"/>
          <w:sz w:val="24"/>
          <w:szCs w:val="24"/>
        </w:rPr>
        <w:t xml:space="preserve"> et al. Guidelines for implementation of enhanced recovery protocols. Association of Surgeons of Great Britain and Ireland. December 2009</w:t>
      </w:r>
    </w:p>
    <w:p w:rsidR="004D7BA8" w:rsidRPr="008F6B89" w:rsidRDefault="004D7BA8" w:rsidP="004D7BA8">
      <w:pPr>
        <w:pStyle w:val="LightGrid-Accent31"/>
        <w:numPr>
          <w:ilvl w:val="0"/>
          <w:numId w:val="1"/>
        </w:numPr>
        <w:tabs>
          <w:tab w:val="clear" w:pos="720"/>
          <w:tab w:val="num" w:pos="284"/>
        </w:tabs>
        <w:spacing w:after="0" w:line="240" w:lineRule="auto"/>
        <w:ind w:left="284" w:hanging="436"/>
        <w:rPr>
          <w:rFonts w:ascii="Arial" w:hAnsi="Arial" w:cs="Arial"/>
          <w:sz w:val="24"/>
          <w:szCs w:val="24"/>
        </w:rPr>
      </w:pPr>
      <w:proofErr w:type="spellStart"/>
      <w:r w:rsidRPr="008F6B89">
        <w:rPr>
          <w:rFonts w:ascii="Arial" w:hAnsi="Arial" w:cs="Arial"/>
          <w:sz w:val="24"/>
          <w:szCs w:val="24"/>
        </w:rPr>
        <w:t>Rigg</w:t>
      </w:r>
      <w:proofErr w:type="spellEnd"/>
      <w:r w:rsidRPr="008F6B89">
        <w:rPr>
          <w:rFonts w:ascii="Arial" w:hAnsi="Arial" w:cs="Arial"/>
          <w:sz w:val="24"/>
          <w:szCs w:val="24"/>
        </w:rPr>
        <w:t xml:space="preserve"> JR, </w:t>
      </w:r>
      <w:proofErr w:type="spellStart"/>
      <w:r w:rsidRPr="008F6B89">
        <w:rPr>
          <w:rFonts w:ascii="Arial" w:hAnsi="Arial" w:cs="Arial"/>
          <w:sz w:val="24"/>
          <w:szCs w:val="24"/>
        </w:rPr>
        <w:t>Jamrozik</w:t>
      </w:r>
      <w:proofErr w:type="spellEnd"/>
      <w:r w:rsidRPr="008F6B89">
        <w:rPr>
          <w:rFonts w:ascii="Arial" w:hAnsi="Arial" w:cs="Arial"/>
          <w:sz w:val="24"/>
          <w:szCs w:val="24"/>
        </w:rPr>
        <w:t xml:space="preserve"> K, Myles PS, </w:t>
      </w:r>
      <w:proofErr w:type="spellStart"/>
      <w:r w:rsidRPr="008F6B89">
        <w:rPr>
          <w:rFonts w:ascii="Arial" w:hAnsi="Arial" w:cs="Arial"/>
          <w:sz w:val="24"/>
          <w:szCs w:val="24"/>
        </w:rPr>
        <w:t>Silbert</w:t>
      </w:r>
      <w:proofErr w:type="spellEnd"/>
      <w:r w:rsidRPr="008F6B89">
        <w:rPr>
          <w:rFonts w:ascii="Arial" w:hAnsi="Arial" w:cs="Arial"/>
          <w:sz w:val="24"/>
          <w:szCs w:val="24"/>
        </w:rPr>
        <w:t xml:space="preserve"> BS, Peyton PJ, Parsons RW, et al. Epidural anaesthesia and analgesia and outcome of major surgery: a randomised trial. Lancet 2002;359(9314):1276-82</w:t>
      </w:r>
    </w:p>
    <w:p w:rsidR="004D7BA8" w:rsidRPr="008F6B89" w:rsidRDefault="004D7BA8" w:rsidP="004D7BA8">
      <w:pPr>
        <w:pStyle w:val="LightGrid-Accent31"/>
        <w:numPr>
          <w:ilvl w:val="0"/>
          <w:numId w:val="1"/>
        </w:numPr>
        <w:tabs>
          <w:tab w:val="clear" w:pos="720"/>
          <w:tab w:val="num" w:pos="284"/>
        </w:tabs>
        <w:spacing w:after="0" w:line="240" w:lineRule="auto"/>
        <w:ind w:left="284" w:hanging="436"/>
        <w:rPr>
          <w:rFonts w:ascii="Arial" w:hAnsi="Arial" w:cs="Arial"/>
          <w:sz w:val="24"/>
          <w:szCs w:val="24"/>
        </w:rPr>
      </w:pPr>
      <w:proofErr w:type="spellStart"/>
      <w:r w:rsidRPr="008F6B89">
        <w:rPr>
          <w:rFonts w:ascii="Arial" w:hAnsi="Arial" w:cs="Arial"/>
          <w:sz w:val="24"/>
          <w:szCs w:val="24"/>
        </w:rPr>
        <w:t>Rafi</w:t>
      </w:r>
      <w:proofErr w:type="spellEnd"/>
      <w:r w:rsidRPr="008F6B89">
        <w:rPr>
          <w:rFonts w:ascii="Arial" w:hAnsi="Arial" w:cs="Arial"/>
          <w:sz w:val="24"/>
          <w:szCs w:val="24"/>
        </w:rPr>
        <w:t xml:space="preserve"> AN. Abdominal field block: a new approach via the lumbar triangle. </w:t>
      </w:r>
      <w:r w:rsidRPr="008F6B89">
        <w:rPr>
          <w:rFonts w:ascii="Arial" w:hAnsi="Arial" w:cs="Arial"/>
          <w:iCs/>
          <w:sz w:val="24"/>
          <w:szCs w:val="24"/>
        </w:rPr>
        <w:t xml:space="preserve">Anaesthesia </w:t>
      </w:r>
      <w:r w:rsidRPr="008F6B89">
        <w:rPr>
          <w:rFonts w:ascii="Arial" w:hAnsi="Arial" w:cs="Arial"/>
          <w:sz w:val="24"/>
          <w:szCs w:val="24"/>
        </w:rPr>
        <w:t>2001</w:t>
      </w:r>
      <w:proofErr w:type="gramStart"/>
      <w:r w:rsidRPr="008F6B89">
        <w:rPr>
          <w:rFonts w:ascii="Arial" w:hAnsi="Arial" w:cs="Arial"/>
          <w:sz w:val="24"/>
          <w:szCs w:val="24"/>
        </w:rPr>
        <w:t>;</w:t>
      </w:r>
      <w:r w:rsidRPr="008F6B89">
        <w:rPr>
          <w:rFonts w:ascii="Arial" w:hAnsi="Arial" w:cs="Arial"/>
          <w:bCs/>
          <w:sz w:val="24"/>
          <w:szCs w:val="24"/>
        </w:rPr>
        <w:t>56</w:t>
      </w:r>
      <w:r w:rsidRPr="008F6B89">
        <w:rPr>
          <w:rFonts w:ascii="Arial" w:hAnsi="Arial" w:cs="Arial"/>
          <w:sz w:val="24"/>
          <w:szCs w:val="24"/>
        </w:rPr>
        <w:t>:1024</w:t>
      </w:r>
      <w:proofErr w:type="gramEnd"/>
      <w:r w:rsidRPr="008F6B89">
        <w:rPr>
          <w:rFonts w:ascii="Arial" w:hAnsi="Arial" w:cs="Arial"/>
          <w:sz w:val="24"/>
          <w:szCs w:val="24"/>
        </w:rPr>
        <w:t>–6.</w:t>
      </w:r>
    </w:p>
    <w:p w:rsidR="004D7BA8" w:rsidRPr="008F6B89" w:rsidRDefault="004D7BA8" w:rsidP="004D7BA8">
      <w:pPr>
        <w:pStyle w:val="LightGrid-Accent31"/>
        <w:numPr>
          <w:ilvl w:val="0"/>
          <w:numId w:val="1"/>
        </w:numPr>
        <w:tabs>
          <w:tab w:val="clear" w:pos="720"/>
          <w:tab w:val="num" w:pos="284"/>
        </w:tabs>
        <w:spacing w:after="0" w:line="240" w:lineRule="auto"/>
        <w:ind w:left="284" w:hanging="436"/>
        <w:rPr>
          <w:rFonts w:ascii="Arial" w:hAnsi="Arial" w:cs="Arial"/>
          <w:sz w:val="24"/>
          <w:szCs w:val="24"/>
        </w:rPr>
      </w:pPr>
      <w:r w:rsidRPr="008F6B89">
        <w:rPr>
          <w:rFonts w:ascii="Arial" w:hAnsi="Arial" w:cs="Arial"/>
          <w:sz w:val="24"/>
          <w:szCs w:val="24"/>
        </w:rPr>
        <w:lastRenderedPageBreak/>
        <w:t xml:space="preserve">McDonnell JG, O’Donnell BD, </w:t>
      </w:r>
      <w:proofErr w:type="spellStart"/>
      <w:r w:rsidRPr="008F6B89">
        <w:rPr>
          <w:rFonts w:ascii="Arial" w:hAnsi="Arial" w:cs="Arial"/>
          <w:sz w:val="24"/>
          <w:szCs w:val="24"/>
        </w:rPr>
        <w:t>Tuite</w:t>
      </w:r>
      <w:proofErr w:type="spellEnd"/>
      <w:r w:rsidRPr="008F6B89">
        <w:rPr>
          <w:rFonts w:ascii="Arial" w:hAnsi="Arial" w:cs="Arial"/>
          <w:sz w:val="24"/>
          <w:szCs w:val="24"/>
        </w:rPr>
        <w:t xml:space="preserve"> D, Farrell T, Power C. The Regional Abdominal Field Infiltration (RAFI) technique: computerised </w:t>
      </w:r>
      <w:proofErr w:type="spellStart"/>
      <w:r w:rsidRPr="008F6B89">
        <w:rPr>
          <w:rFonts w:ascii="Arial" w:hAnsi="Arial" w:cs="Arial"/>
          <w:sz w:val="24"/>
          <w:szCs w:val="24"/>
        </w:rPr>
        <w:t>tomographic</w:t>
      </w:r>
      <w:proofErr w:type="spellEnd"/>
      <w:r w:rsidRPr="008F6B89">
        <w:rPr>
          <w:rFonts w:ascii="Arial" w:hAnsi="Arial" w:cs="Arial"/>
          <w:sz w:val="24"/>
          <w:szCs w:val="24"/>
        </w:rPr>
        <w:t xml:space="preserve"> and anatomical identification of a novel approach to the </w:t>
      </w:r>
      <w:proofErr w:type="spellStart"/>
      <w:r w:rsidRPr="008F6B89">
        <w:rPr>
          <w:rFonts w:ascii="Arial" w:hAnsi="Arial" w:cs="Arial"/>
          <w:sz w:val="24"/>
          <w:szCs w:val="24"/>
        </w:rPr>
        <w:t>transversus</w:t>
      </w:r>
      <w:proofErr w:type="spellEnd"/>
      <w:r w:rsidRPr="008F6B89">
        <w:rPr>
          <w:rFonts w:ascii="Arial" w:hAnsi="Arial" w:cs="Arial"/>
          <w:sz w:val="24"/>
          <w:szCs w:val="24"/>
        </w:rPr>
        <w:t xml:space="preserve"> </w:t>
      </w:r>
      <w:proofErr w:type="spellStart"/>
      <w:r w:rsidRPr="008F6B89">
        <w:rPr>
          <w:rFonts w:ascii="Arial" w:hAnsi="Arial" w:cs="Arial"/>
          <w:sz w:val="24"/>
          <w:szCs w:val="24"/>
        </w:rPr>
        <w:t>abdominis</w:t>
      </w:r>
      <w:proofErr w:type="spellEnd"/>
      <w:r w:rsidRPr="008F6B89">
        <w:rPr>
          <w:rFonts w:ascii="Arial" w:hAnsi="Arial" w:cs="Arial"/>
          <w:sz w:val="24"/>
          <w:szCs w:val="24"/>
        </w:rPr>
        <w:t xml:space="preserve"> </w:t>
      </w:r>
      <w:proofErr w:type="spellStart"/>
      <w:r w:rsidRPr="008F6B89">
        <w:rPr>
          <w:rFonts w:ascii="Arial" w:hAnsi="Arial" w:cs="Arial"/>
          <w:sz w:val="24"/>
          <w:szCs w:val="24"/>
        </w:rPr>
        <w:t>neuro</w:t>
      </w:r>
      <w:proofErr w:type="spellEnd"/>
      <w:r w:rsidRPr="008F6B89">
        <w:rPr>
          <w:rFonts w:ascii="Arial" w:hAnsi="Arial" w:cs="Arial"/>
          <w:sz w:val="24"/>
          <w:szCs w:val="24"/>
        </w:rPr>
        <w:t xml:space="preserve">-vascular </w:t>
      </w:r>
      <w:proofErr w:type="spellStart"/>
      <w:r w:rsidRPr="008F6B89">
        <w:rPr>
          <w:rFonts w:ascii="Arial" w:hAnsi="Arial" w:cs="Arial"/>
          <w:sz w:val="24"/>
          <w:szCs w:val="24"/>
        </w:rPr>
        <w:t>fascial</w:t>
      </w:r>
      <w:proofErr w:type="spellEnd"/>
      <w:r w:rsidRPr="008F6B89">
        <w:rPr>
          <w:rFonts w:ascii="Arial" w:hAnsi="Arial" w:cs="Arial"/>
          <w:sz w:val="24"/>
          <w:szCs w:val="24"/>
        </w:rPr>
        <w:t xml:space="preserve"> plane. </w:t>
      </w:r>
      <w:proofErr w:type="spellStart"/>
      <w:r w:rsidRPr="008F6B89">
        <w:rPr>
          <w:rFonts w:ascii="Arial" w:hAnsi="Arial" w:cs="Arial"/>
          <w:i/>
          <w:iCs/>
          <w:sz w:val="24"/>
          <w:szCs w:val="24"/>
        </w:rPr>
        <w:t>Anesthesiology</w:t>
      </w:r>
      <w:proofErr w:type="spellEnd"/>
      <w:r w:rsidRPr="008F6B89">
        <w:rPr>
          <w:rFonts w:ascii="Arial" w:hAnsi="Arial" w:cs="Arial"/>
          <w:i/>
          <w:iCs/>
          <w:sz w:val="24"/>
          <w:szCs w:val="24"/>
        </w:rPr>
        <w:t xml:space="preserve"> </w:t>
      </w:r>
      <w:r w:rsidRPr="008F6B89">
        <w:rPr>
          <w:rFonts w:ascii="Arial" w:hAnsi="Arial" w:cs="Arial"/>
          <w:sz w:val="24"/>
          <w:szCs w:val="24"/>
        </w:rPr>
        <w:t xml:space="preserve">2004; </w:t>
      </w:r>
      <w:r w:rsidRPr="008F6B89">
        <w:rPr>
          <w:rFonts w:ascii="Arial" w:hAnsi="Arial" w:cs="Arial"/>
          <w:b/>
          <w:bCs/>
          <w:sz w:val="24"/>
          <w:szCs w:val="24"/>
        </w:rPr>
        <w:t>101</w:t>
      </w:r>
      <w:r w:rsidRPr="008F6B89">
        <w:rPr>
          <w:rFonts w:ascii="Arial" w:hAnsi="Arial" w:cs="Arial"/>
          <w:sz w:val="24"/>
          <w:szCs w:val="24"/>
        </w:rPr>
        <w:t>:A899.</w:t>
      </w:r>
    </w:p>
    <w:p w:rsidR="004D7BA8" w:rsidRPr="008F6B89" w:rsidRDefault="004D7BA8" w:rsidP="004D7BA8">
      <w:pPr>
        <w:pStyle w:val="LightGrid-Accent31"/>
        <w:numPr>
          <w:ilvl w:val="0"/>
          <w:numId w:val="1"/>
        </w:numPr>
        <w:tabs>
          <w:tab w:val="clear" w:pos="720"/>
          <w:tab w:val="num" w:pos="284"/>
        </w:tabs>
        <w:spacing w:after="0" w:line="240" w:lineRule="auto"/>
        <w:ind w:left="284" w:hanging="436"/>
        <w:rPr>
          <w:rFonts w:ascii="Arial" w:hAnsi="Arial" w:cs="Arial"/>
          <w:sz w:val="24"/>
          <w:szCs w:val="24"/>
        </w:rPr>
      </w:pPr>
      <w:r w:rsidRPr="008F6B89">
        <w:rPr>
          <w:rFonts w:ascii="Arial" w:hAnsi="Arial" w:cs="Arial"/>
          <w:sz w:val="24"/>
          <w:szCs w:val="24"/>
        </w:rPr>
        <w:t xml:space="preserve">McDonnell JG, </w:t>
      </w:r>
      <w:proofErr w:type="spellStart"/>
      <w:r w:rsidRPr="008F6B89">
        <w:rPr>
          <w:rFonts w:ascii="Arial" w:hAnsi="Arial" w:cs="Arial"/>
          <w:sz w:val="24"/>
          <w:szCs w:val="24"/>
        </w:rPr>
        <w:t>Laffey</w:t>
      </w:r>
      <w:proofErr w:type="spellEnd"/>
      <w:r w:rsidRPr="008F6B89">
        <w:rPr>
          <w:rFonts w:ascii="Arial" w:hAnsi="Arial" w:cs="Arial"/>
          <w:sz w:val="24"/>
          <w:szCs w:val="24"/>
        </w:rPr>
        <w:t xml:space="preserve"> JG. The </w:t>
      </w:r>
      <w:proofErr w:type="spellStart"/>
      <w:r w:rsidRPr="008F6B89">
        <w:rPr>
          <w:rFonts w:ascii="Arial" w:hAnsi="Arial" w:cs="Arial"/>
          <w:sz w:val="24"/>
          <w:szCs w:val="24"/>
        </w:rPr>
        <w:t>transversus</w:t>
      </w:r>
      <w:proofErr w:type="spellEnd"/>
      <w:r w:rsidRPr="008F6B89">
        <w:rPr>
          <w:rFonts w:ascii="Arial" w:hAnsi="Arial" w:cs="Arial"/>
          <w:sz w:val="24"/>
          <w:szCs w:val="24"/>
        </w:rPr>
        <w:t xml:space="preserve"> </w:t>
      </w:r>
      <w:proofErr w:type="spellStart"/>
      <w:r w:rsidRPr="008F6B89">
        <w:rPr>
          <w:rFonts w:ascii="Arial" w:hAnsi="Arial" w:cs="Arial"/>
          <w:sz w:val="24"/>
          <w:szCs w:val="24"/>
        </w:rPr>
        <w:t>abdominis</w:t>
      </w:r>
      <w:proofErr w:type="spellEnd"/>
      <w:r w:rsidRPr="008F6B89">
        <w:rPr>
          <w:rFonts w:ascii="Arial" w:hAnsi="Arial" w:cs="Arial"/>
          <w:sz w:val="24"/>
          <w:szCs w:val="24"/>
        </w:rPr>
        <w:t xml:space="preserve"> plane block. </w:t>
      </w:r>
      <w:proofErr w:type="spellStart"/>
      <w:r w:rsidRPr="008F6B89">
        <w:rPr>
          <w:rFonts w:ascii="Arial" w:hAnsi="Arial" w:cs="Arial"/>
          <w:i/>
          <w:iCs/>
          <w:sz w:val="24"/>
          <w:szCs w:val="24"/>
        </w:rPr>
        <w:t>Anesthesia</w:t>
      </w:r>
      <w:proofErr w:type="spellEnd"/>
      <w:r w:rsidRPr="008F6B89">
        <w:rPr>
          <w:rFonts w:ascii="Arial" w:hAnsi="Arial" w:cs="Arial"/>
          <w:i/>
          <w:iCs/>
          <w:sz w:val="24"/>
          <w:szCs w:val="24"/>
        </w:rPr>
        <w:t xml:space="preserve"> and Analgesia </w:t>
      </w:r>
      <w:r w:rsidRPr="008F6B89">
        <w:rPr>
          <w:rFonts w:ascii="Arial" w:hAnsi="Arial" w:cs="Arial"/>
          <w:sz w:val="24"/>
          <w:szCs w:val="24"/>
        </w:rPr>
        <w:t>2007</w:t>
      </w:r>
      <w:proofErr w:type="gramStart"/>
      <w:r w:rsidRPr="008F6B89">
        <w:rPr>
          <w:rFonts w:ascii="Arial" w:hAnsi="Arial" w:cs="Arial"/>
          <w:sz w:val="24"/>
          <w:szCs w:val="24"/>
        </w:rPr>
        <w:t>;</w:t>
      </w:r>
      <w:r w:rsidRPr="008F6B89">
        <w:rPr>
          <w:rFonts w:ascii="Arial" w:hAnsi="Arial" w:cs="Arial"/>
          <w:b/>
          <w:bCs/>
          <w:sz w:val="24"/>
          <w:szCs w:val="24"/>
        </w:rPr>
        <w:t>105</w:t>
      </w:r>
      <w:r w:rsidRPr="008F6B89">
        <w:rPr>
          <w:rFonts w:ascii="Arial" w:hAnsi="Arial" w:cs="Arial"/>
          <w:sz w:val="24"/>
          <w:szCs w:val="24"/>
        </w:rPr>
        <w:t>:282</w:t>
      </w:r>
      <w:proofErr w:type="gramEnd"/>
      <w:r w:rsidRPr="008F6B89">
        <w:rPr>
          <w:rFonts w:ascii="Arial" w:hAnsi="Arial" w:cs="Arial"/>
          <w:sz w:val="24"/>
          <w:szCs w:val="24"/>
        </w:rPr>
        <w:t>–3.</w:t>
      </w:r>
    </w:p>
    <w:p w:rsidR="004D7BA8" w:rsidRPr="008F6B89" w:rsidRDefault="004D7BA8" w:rsidP="004D7BA8">
      <w:pPr>
        <w:pStyle w:val="LightGrid-Accent31"/>
        <w:numPr>
          <w:ilvl w:val="0"/>
          <w:numId w:val="1"/>
        </w:numPr>
        <w:tabs>
          <w:tab w:val="clear" w:pos="720"/>
          <w:tab w:val="num" w:pos="284"/>
        </w:tabs>
        <w:spacing w:after="0" w:line="240" w:lineRule="auto"/>
        <w:ind w:left="284" w:hanging="436"/>
        <w:rPr>
          <w:rFonts w:ascii="Arial" w:hAnsi="Arial" w:cs="Arial"/>
          <w:sz w:val="24"/>
          <w:szCs w:val="24"/>
        </w:rPr>
      </w:pPr>
      <w:proofErr w:type="spellStart"/>
      <w:r w:rsidRPr="008F6B89">
        <w:rPr>
          <w:rFonts w:ascii="Arial" w:hAnsi="Arial" w:cs="Arial"/>
          <w:sz w:val="24"/>
          <w:szCs w:val="24"/>
        </w:rPr>
        <w:t>Hebbard</w:t>
      </w:r>
      <w:proofErr w:type="spellEnd"/>
      <w:r w:rsidRPr="008F6B89">
        <w:rPr>
          <w:rFonts w:ascii="Arial" w:hAnsi="Arial" w:cs="Arial"/>
          <w:sz w:val="24"/>
          <w:szCs w:val="24"/>
        </w:rPr>
        <w:t xml:space="preserve"> P. </w:t>
      </w:r>
      <w:proofErr w:type="spellStart"/>
      <w:r w:rsidRPr="008F6B89">
        <w:rPr>
          <w:rFonts w:ascii="Arial" w:hAnsi="Arial" w:cs="Arial"/>
          <w:sz w:val="24"/>
          <w:szCs w:val="24"/>
        </w:rPr>
        <w:t>Subcostal</w:t>
      </w:r>
      <w:proofErr w:type="spellEnd"/>
      <w:r w:rsidRPr="008F6B89">
        <w:rPr>
          <w:rFonts w:ascii="Arial" w:hAnsi="Arial" w:cs="Arial"/>
          <w:sz w:val="24"/>
          <w:szCs w:val="24"/>
        </w:rPr>
        <w:t xml:space="preserve"> </w:t>
      </w:r>
      <w:proofErr w:type="spellStart"/>
      <w:r w:rsidRPr="008F6B89">
        <w:rPr>
          <w:rFonts w:ascii="Arial" w:hAnsi="Arial" w:cs="Arial"/>
          <w:sz w:val="24"/>
          <w:szCs w:val="24"/>
        </w:rPr>
        <w:t>transversus</w:t>
      </w:r>
      <w:proofErr w:type="spellEnd"/>
      <w:r w:rsidRPr="008F6B89">
        <w:rPr>
          <w:rFonts w:ascii="Arial" w:hAnsi="Arial" w:cs="Arial"/>
          <w:sz w:val="24"/>
          <w:szCs w:val="24"/>
        </w:rPr>
        <w:t xml:space="preserve"> </w:t>
      </w:r>
      <w:proofErr w:type="spellStart"/>
      <w:r w:rsidRPr="008F6B89">
        <w:rPr>
          <w:rFonts w:ascii="Arial" w:hAnsi="Arial" w:cs="Arial"/>
          <w:sz w:val="24"/>
          <w:szCs w:val="24"/>
        </w:rPr>
        <w:t>abdominis</w:t>
      </w:r>
      <w:proofErr w:type="spellEnd"/>
      <w:r w:rsidRPr="008F6B89">
        <w:rPr>
          <w:rFonts w:ascii="Arial" w:hAnsi="Arial" w:cs="Arial"/>
          <w:sz w:val="24"/>
          <w:szCs w:val="24"/>
        </w:rPr>
        <w:t xml:space="preserve"> plane block under ultrasound guidance. </w:t>
      </w:r>
      <w:proofErr w:type="spellStart"/>
      <w:r w:rsidRPr="008F6B89">
        <w:rPr>
          <w:rFonts w:ascii="Arial" w:hAnsi="Arial" w:cs="Arial"/>
          <w:i/>
          <w:iCs/>
          <w:sz w:val="24"/>
          <w:szCs w:val="24"/>
        </w:rPr>
        <w:t>Anesthesia</w:t>
      </w:r>
      <w:proofErr w:type="spellEnd"/>
      <w:r w:rsidRPr="008F6B89">
        <w:rPr>
          <w:rFonts w:ascii="Arial" w:hAnsi="Arial" w:cs="Arial"/>
          <w:i/>
          <w:iCs/>
          <w:sz w:val="24"/>
          <w:szCs w:val="24"/>
        </w:rPr>
        <w:t xml:space="preserve"> and Analgesia </w:t>
      </w:r>
      <w:r w:rsidRPr="008F6B89">
        <w:rPr>
          <w:rFonts w:ascii="Arial" w:hAnsi="Arial" w:cs="Arial"/>
          <w:sz w:val="24"/>
          <w:szCs w:val="24"/>
        </w:rPr>
        <w:t xml:space="preserve">2008; </w:t>
      </w:r>
      <w:r w:rsidRPr="008F6B89">
        <w:rPr>
          <w:rFonts w:ascii="Arial" w:hAnsi="Arial" w:cs="Arial"/>
          <w:b/>
          <w:bCs/>
          <w:sz w:val="24"/>
          <w:szCs w:val="24"/>
        </w:rPr>
        <w:t>106</w:t>
      </w:r>
      <w:r w:rsidRPr="008F6B89">
        <w:rPr>
          <w:rFonts w:ascii="Arial" w:hAnsi="Arial" w:cs="Arial"/>
          <w:sz w:val="24"/>
          <w:szCs w:val="24"/>
        </w:rPr>
        <w:t>:674–5.</w:t>
      </w:r>
    </w:p>
    <w:p w:rsidR="004D7BA8" w:rsidRPr="008F6B89" w:rsidRDefault="004D7BA8" w:rsidP="004D7BA8">
      <w:pPr>
        <w:pStyle w:val="LightGrid-Accent31"/>
        <w:numPr>
          <w:ilvl w:val="0"/>
          <w:numId w:val="1"/>
        </w:numPr>
        <w:tabs>
          <w:tab w:val="clear" w:pos="720"/>
          <w:tab w:val="num" w:pos="284"/>
        </w:tabs>
        <w:spacing w:after="0" w:line="240" w:lineRule="auto"/>
        <w:ind w:left="284" w:hanging="436"/>
        <w:rPr>
          <w:rFonts w:ascii="Arial" w:hAnsi="Arial" w:cs="Arial"/>
          <w:sz w:val="24"/>
          <w:szCs w:val="24"/>
        </w:rPr>
      </w:pPr>
      <w:r w:rsidRPr="008F6B89">
        <w:rPr>
          <w:rFonts w:ascii="Arial" w:hAnsi="Arial" w:cs="Arial"/>
          <w:bCs/>
          <w:color w:val="1A1818"/>
          <w:sz w:val="24"/>
          <w:szCs w:val="24"/>
        </w:rPr>
        <w:t>Levy B, Scott M, Fawcett W, Fry C and Rockall T. Randomized clinical trial of epidural, spinal or patient-controlled analgesia for patients undergoing laparoscopic colorectal surgery</w:t>
      </w:r>
      <w:r w:rsidRPr="008F6B89">
        <w:rPr>
          <w:rFonts w:ascii="Arial" w:hAnsi="Arial" w:cs="Arial"/>
          <w:sz w:val="24"/>
          <w:szCs w:val="24"/>
        </w:rPr>
        <w:t xml:space="preserve">. </w:t>
      </w:r>
      <w:r w:rsidRPr="008F6B89">
        <w:rPr>
          <w:rFonts w:ascii="Arial" w:hAnsi="Arial" w:cs="Arial"/>
          <w:iCs/>
          <w:color w:val="1A1818"/>
          <w:sz w:val="24"/>
          <w:szCs w:val="24"/>
        </w:rPr>
        <w:t xml:space="preserve">British Journal of Surgery </w:t>
      </w:r>
      <w:r w:rsidRPr="008F6B89">
        <w:rPr>
          <w:rFonts w:ascii="Arial" w:hAnsi="Arial" w:cs="Arial"/>
          <w:color w:val="1A1818"/>
          <w:sz w:val="24"/>
          <w:szCs w:val="24"/>
        </w:rPr>
        <w:t xml:space="preserve">2011; </w:t>
      </w:r>
      <w:r w:rsidRPr="008F6B89">
        <w:rPr>
          <w:rFonts w:ascii="Arial" w:hAnsi="Arial" w:cs="Arial"/>
          <w:bCs/>
          <w:color w:val="1A1818"/>
          <w:sz w:val="24"/>
          <w:szCs w:val="24"/>
        </w:rPr>
        <w:t xml:space="preserve">98: </w:t>
      </w:r>
      <w:r w:rsidRPr="008F6B89">
        <w:rPr>
          <w:rFonts w:ascii="Arial" w:hAnsi="Arial" w:cs="Arial"/>
          <w:color w:val="1A1818"/>
          <w:sz w:val="24"/>
          <w:szCs w:val="24"/>
        </w:rPr>
        <w:t>1068–1078</w:t>
      </w:r>
    </w:p>
    <w:p w:rsidR="004D7BA8" w:rsidRPr="008F6B89" w:rsidRDefault="004D7BA8" w:rsidP="004D7BA8">
      <w:pPr>
        <w:widowControl w:val="0"/>
        <w:autoSpaceDE w:val="0"/>
        <w:autoSpaceDN w:val="0"/>
        <w:adjustRightInd w:val="0"/>
        <w:spacing w:after="240"/>
        <w:ind w:left="360"/>
        <w:jc w:val="both"/>
        <w:rPr>
          <w:rFonts w:ascii="Arial" w:hAnsi="Arial" w:cs="Arial"/>
        </w:rPr>
      </w:pPr>
    </w:p>
    <w:p w:rsidR="00EC60D3" w:rsidRPr="008F6B89" w:rsidRDefault="00EC60D3" w:rsidP="004D7BA8">
      <w:pPr>
        <w:jc w:val="both"/>
        <w:rPr>
          <w:rFonts w:ascii="Arial" w:hAnsi="Arial" w:cs="Arial"/>
        </w:rPr>
      </w:pPr>
    </w:p>
    <w:sectPr w:rsidR="00EC60D3" w:rsidRPr="008F6B89">
      <w:pgSz w:w="11900" w:h="16840"/>
      <w:pgMar w:top="1440" w:right="1800" w:bottom="1440" w:left="1800"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D87D78"/>
    <w:multiLevelType w:val="multilevel"/>
    <w:tmpl w:val="6B2614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4D7BA8"/>
    <w:rsid w:val="004D7BA8"/>
    <w:rsid w:val="005C1DAD"/>
    <w:rsid w:val="008F6B89"/>
    <w:rsid w:val="00EC60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BA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4D7BA8"/>
    <w:pPr>
      <w:spacing w:after="0" w:line="240" w:lineRule="auto"/>
      <w:outlineLvl w:val="0"/>
    </w:pPr>
    <w:rPr>
      <w:rFonts w:ascii="Helvetica" w:eastAsia="Arial Unicode MS" w:hAnsi="Helvetica" w:cs="Times New Roman"/>
      <w:color w:val="000000"/>
      <w:sz w:val="24"/>
      <w:szCs w:val="20"/>
      <w:u w:color="000000"/>
    </w:rPr>
  </w:style>
  <w:style w:type="paragraph" w:customStyle="1" w:styleId="LightGrid-Accent31">
    <w:name w:val="Light Grid - Accent 31"/>
    <w:basedOn w:val="Normal"/>
    <w:uiPriority w:val="99"/>
    <w:rsid w:val="004D7BA8"/>
    <w:pPr>
      <w:spacing w:after="200" w:line="276" w:lineRule="auto"/>
      <w:ind w:left="720"/>
      <w:contextualSpacing/>
      <w:jc w:val="both"/>
    </w:pPr>
    <w:rPr>
      <w:rFonts w:ascii="Calibri" w:eastAsia="Cambria" w:hAnsi="Calibri"/>
      <w:sz w:val="22"/>
      <w:szCs w:val="22"/>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979</Words>
  <Characters>5584</Characters>
  <Application>Microsoft Office Word</Application>
  <DocSecurity>0</DocSecurity>
  <Lines>46</Lines>
  <Paragraphs>13</Paragraphs>
  <ScaleCrop>false</ScaleCrop>
  <Company/>
  <LinksUpToDate>false</LinksUpToDate>
  <CharactersWithSpaces>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2014-08-23T18:29:00Z</cp:lastPrinted>
  <dcterms:created xsi:type="dcterms:W3CDTF">2014-08-23T18:25:00Z</dcterms:created>
  <dcterms:modified xsi:type="dcterms:W3CDTF">2014-08-23T18:31:00Z</dcterms:modified>
</cp:coreProperties>
</file>