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65" w:rsidRDefault="00733265">
      <w:pPr>
        <w:rPr>
          <w:rFonts w:ascii="Arial" w:hAnsi="Arial" w:cs="Arial"/>
          <w:b/>
          <w:sz w:val="24"/>
          <w:szCs w:val="24"/>
        </w:rPr>
      </w:pPr>
      <w:r>
        <w:rPr>
          <w:rFonts w:ascii="Arial" w:hAnsi="Arial" w:cs="Arial"/>
          <w:b/>
          <w:sz w:val="24"/>
          <w:szCs w:val="24"/>
        </w:rPr>
        <w:t>Corresponding author</w:t>
      </w:r>
    </w:p>
    <w:p w:rsidR="00733265" w:rsidRDefault="00733265" w:rsidP="00733265">
      <w:pPr>
        <w:spacing w:after="0" w:line="240" w:lineRule="auto"/>
        <w:rPr>
          <w:rFonts w:ascii="Arial" w:hAnsi="Arial" w:cs="Arial"/>
          <w:sz w:val="24"/>
          <w:szCs w:val="24"/>
        </w:rPr>
      </w:pPr>
      <w:r>
        <w:rPr>
          <w:rFonts w:ascii="Arial" w:hAnsi="Arial" w:cs="Arial"/>
          <w:sz w:val="24"/>
          <w:szCs w:val="24"/>
        </w:rPr>
        <w:t>Mahindra Chincholkar</w:t>
      </w:r>
    </w:p>
    <w:p w:rsidR="00733265" w:rsidRDefault="00733265" w:rsidP="00733265">
      <w:pPr>
        <w:spacing w:after="0" w:line="240" w:lineRule="auto"/>
        <w:rPr>
          <w:rFonts w:ascii="Arial" w:hAnsi="Arial" w:cs="Arial"/>
          <w:sz w:val="24"/>
          <w:szCs w:val="24"/>
        </w:rPr>
      </w:pPr>
      <w:r>
        <w:rPr>
          <w:rFonts w:ascii="Arial" w:hAnsi="Arial" w:cs="Arial"/>
          <w:sz w:val="24"/>
          <w:szCs w:val="24"/>
        </w:rPr>
        <w:t>Consultant in Pain Management and Anaesthesia</w:t>
      </w:r>
    </w:p>
    <w:p w:rsidR="00733265" w:rsidRDefault="00733265" w:rsidP="00733265">
      <w:pPr>
        <w:spacing w:after="0" w:line="240" w:lineRule="auto"/>
        <w:rPr>
          <w:rFonts w:ascii="Arial" w:hAnsi="Arial" w:cs="Arial"/>
          <w:sz w:val="24"/>
          <w:szCs w:val="24"/>
        </w:rPr>
      </w:pPr>
      <w:r>
        <w:rPr>
          <w:rFonts w:ascii="Arial" w:hAnsi="Arial" w:cs="Arial"/>
          <w:sz w:val="24"/>
          <w:szCs w:val="24"/>
        </w:rPr>
        <w:t>Pain Centre</w:t>
      </w:r>
    </w:p>
    <w:p w:rsidR="00733265" w:rsidRDefault="00733265" w:rsidP="00733265">
      <w:pPr>
        <w:spacing w:after="0" w:line="240" w:lineRule="auto"/>
        <w:rPr>
          <w:rFonts w:ascii="Arial" w:hAnsi="Arial" w:cs="Arial"/>
          <w:sz w:val="24"/>
          <w:szCs w:val="24"/>
        </w:rPr>
      </w:pPr>
      <w:r>
        <w:rPr>
          <w:rFonts w:ascii="Arial" w:hAnsi="Arial" w:cs="Arial"/>
          <w:sz w:val="24"/>
          <w:szCs w:val="24"/>
        </w:rPr>
        <w:t>Salford Royal Foundation Trust</w:t>
      </w:r>
    </w:p>
    <w:p w:rsidR="00733265" w:rsidRDefault="00733265" w:rsidP="00733265">
      <w:pPr>
        <w:spacing w:after="0" w:line="240" w:lineRule="auto"/>
        <w:rPr>
          <w:rFonts w:ascii="Arial" w:hAnsi="Arial" w:cs="Arial"/>
          <w:sz w:val="24"/>
          <w:szCs w:val="24"/>
        </w:rPr>
      </w:pPr>
      <w:r>
        <w:rPr>
          <w:rFonts w:ascii="Arial" w:hAnsi="Arial" w:cs="Arial"/>
          <w:sz w:val="24"/>
          <w:szCs w:val="24"/>
        </w:rPr>
        <w:t>Stott Lane</w:t>
      </w:r>
    </w:p>
    <w:p w:rsidR="00733265" w:rsidRDefault="00733265" w:rsidP="00733265">
      <w:pPr>
        <w:spacing w:after="0" w:line="240" w:lineRule="auto"/>
        <w:rPr>
          <w:rFonts w:ascii="Arial" w:hAnsi="Arial" w:cs="Arial"/>
          <w:sz w:val="24"/>
          <w:szCs w:val="24"/>
        </w:rPr>
      </w:pPr>
      <w:r>
        <w:rPr>
          <w:rFonts w:ascii="Arial" w:hAnsi="Arial" w:cs="Arial"/>
          <w:sz w:val="24"/>
          <w:szCs w:val="24"/>
        </w:rPr>
        <w:t>M6 8HD</w:t>
      </w:r>
    </w:p>
    <w:p w:rsidR="00733265" w:rsidRDefault="00733265" w:rsidP="00733265">
      <w:pPr>
        <w:spacing w:after="0" w:line="240" w:lineRule="auto"/>
        <w:rPr>
          <w:rFonts w:ascii="Arial" w:hAnsi="Arial" w:cs="Arial"/>
          <w:sz w:val="24"/>
          <w:szCs w:val="24"/>
        </w:rPr>
      </w:pPr>
      <w:r>
        <w:rPr>
          <w:rFonts w:ascii="Arial" w:hAnsi="Arial" w:cs="Arial"/>
          <w:sz w:val="24"/>
          <w:szCs w:val="24"/>
        </w:rPr>
        <w:t xml:space="preserve">Email:  </w:t>
      </w:r>
      <w:hyperlink r:id="rId6" w:history="1">
        <w:r w:rsidRPr="00B46EA2">
          <w:rPr>
            <w:rStyle w:val="Hyperlink"/>
            <w:rFonts w:ascii="Arial" w:hAnsi="Arial" w:cs="Arial"/>
            <w:sz w:val="24"/>
            <w:szCs w:val="24"/>
          </w:rPr>
          <w:t>mahindra.chincholkar@srft.nhs.uk</w:t>
        </w:r>
      </w:hyperlink>
    </w:p>
    <w:p w:rsidR="00733265" w:rsidRDefault="00733265" w:rsidP="00733265">
      <w:pPr>
        <w:spacing w:after="0" w:line="240" w:lineRule="auto"/>
        <w:rPr>
          <w:rFonts w:ascii="Arial" w:hAnsi="Arial" w:cs="Arial"/>
          <w:sz w:val="24"/>
          <w:szCs w:val="24"/>
        </w:rPr>
      </w:pPr>
      <w:r>
        <w:rPr>
          <w:rFonts w:ascii="Arial" w:hAnsi="Arial" w:cs="Arial"/>
          <w:sz w:val="24"/>
          <w:szCs w:val="24"/>
        </w:rPr>
        <w:t>Mobile: 07896672669</w:t>
      </w:r>
    </w:p>
    <w:p w:rsidR="00733265" w:rsidRDefault="00733265" w:rsidP="00733265">
      <w:pPr>
        <w:spacing w:after="0" w:line="240" w:lineRule="auto"/>
        <w:rPr>
          <w:rFonts w:ascii="Arial" w:hAnsi="Arial" w:cs="Arial"/>
          <w:sz w:val="24"/>
          <w:szCs w:val="24"/>
        </w:rPr>
      </w:pPr>
    </w:p>
    <w:p w:rsidR="00733265" w:rsidRPr="00A11A51" w:rsidRDefault="00733265" w:rsidP="00733265">
      <w:pPr>
        <w:spacing w:after="0" w:line="240" w:lineRule="auto"/>
        <w:rPr>
          <w:rFonts w:ascii="Arial" w:hAnsi="Arial" w:cs="Arial"/>
          <w:b/>
          <w:sz w:val="24"/>
          <w:szCs w:val="24"/>
        </w:rPr>
      </w:pPr>
      <w:r w:rsidRPr="00A11A51">
        <w:rPr>
          <w:rFonts w:ascii="Arial" w:hAnsi="Arial" w:cs="Arial"/>
          <w:b/>
          <w:sz w:val="24"/>
          <w:szCs w:val="24"/>
        </w:rPr>
        <w:t>Co-authors</w:t>
      </w:r>
    </w:p>
    <w:p w:rsidR="00733265" w:rsidRDefault="00733265" w:rsidP="00733265">
      <w:pPr>
        <w:spacing w:after="0" w:line="240" w:lineRule="auto"/>
        <w:rPr>
          <w:rFonts w:ascii="Arial" w:hAnsi="Arial" w:cs="Arial"/>
          <w:sz w:val="24"/>
          <w:szCs w:val="24"/>
        </w:rPr>
      </w:pPr>
      <w:bookmarkStart w:id="0" w:name="_GoBack"/>
      <w:bookmarkEnd w:id="0"/>
    </w:p>
    <w:p w:rsidR="008E0264" w:rsidRDefault="008E0264" w:rsidP="00733265">
      <w:pPr>
        <w:spacing w:after="0" w:line="240" w:lineRule="auto"/>
        <w:rPr>
          <w:rFonts w:ascii="Arial" w:hAnsi="Arial" w:cs="Arial"/>
          <w:sz w:val="24"/>
          <w:szCs w:val="24"/>
        </w:rPr>
      </w:pPr>
      <w:r>
        <w:rPr>
          <w:rFonts w:ascii="Arial" w:hAnsi="Arial" w:cs="Arial"/>
          <w:sz w:val="24"/>
          <w:szCs w:val="24"/>
        </w:rPr>
        <w:t>Jane Mills</w:t>
      </w:r>
    </w:p>
    <w:p w:rsidR="008E0264" w:rsidRDefault="008E0264" w:rsidP="00733265">
      <w:pPr>
        <w:spacing w:after="0" w:line="240" w:lineRule="auto"/>
        <w:rPr>
          <w:rFonts w:ascii="Arial" w:hAnsi="Arial" w:cs="Arial"/>
          <w:sz w:val="24"/>
          <w:szCs w:val="24"/>
        </w:rPr>
      </w:pPr>
      <w:r>
        <w:rPr>
          <w:rFonts w:ascii="Arial" w:hAnsi="Arial" w:cs="Arial"/>
          <w:sz w:val="24"/>
          <w:szCs w:val="24"/>
        </w:rPr>
        <w:t>Advanced Pain Trainee</w:t>
      </w:r>
    </w:p>
    <w:p w:rsidR="008E0264" w:rsidRDefault="008E0264" w:rsidP="008E0264">
      <w:pPr>
        <w:spacing w:after="0" w:line="240" w:lineRule="auto"/>
        <w:rPr>
          <w:rFonts w:ascii="Arial" w:hAnsi="Arial" w:cs="Arial"/>
          <w:sz w:val="24"/>
          <w:szCs w:val="24"/>
        </w:rPr>
      </w:pPr>
      <w:r>
        <w:rPr>
          <w:rFonts w:ascii="Arial" w:hAnsi="Arial" w:cs="Arial"/>
          <w:sz w:val="24"/>
          <w:szCs w:val="24"/>
        </w:rPr>
        <w:t>North West Deanery</w:t>
      </w:r>
    </w:p>
    <w:p w:rsidR="008E0264" w:rsidRDefault="008E0264" w:rsidP="008E0264">
      <w:pPr>
        <w:spacing w:after="0" w:line="240" w:lineRule="auto"/>
        <w:rPr>
          <w:rFonts w:ascii="Arial" w:hAnsi="Arial" w:cs="Arial"/>
          <w:sz w:val="24"/>
          <w:szCs w:val="24"/>
        </w:rPr>
      </w:pPr>
    </w:p>
    <w:p w:rsidR="008E0264" w:rsidRDefault="008E0264" w:rsidP="00733265">
      <w:pPr>
        <w:spacing w:after="0" w:line="240" w:lineRule="auto"/>
        <w:rPr>
          <w:rFonts w:ascii="Arial" w:hAnsi="Arial" w:cs="Arial"/>
          <w:sz w:val="24"/>
          <w:szCs w:val="24"/>
        </w:rPr>
      </w:pPr>
      <w:r>
        <w:rPr>
          <w:rFonts w:ascii="Arial" w:hAnsi="Arial" w:cs="Arial"/>
          <w:sz w:val="24"/>
          <w:szCs w:val="24"/>
        </w:rPr>
        <w:t>Martin Howarth</w:t>
      </w:r>
    </w:p>
    <w:p w:rsidR="008E0264" w:rsidRDefault="008E0264" w:rsidP="00733265">
      <w:pPr>
        <w:spacing w:after="0" w:line="240" w:lineRule="auto"/>
        <w:rPr>
          <w:rFonts w:ascii="Arial" w:hAnsi="Arial" w:cs="Arial"/>
          <w:sz w:val="24"/>
          <w:szCs w:val="24"/>
        </w:rPr>
      </w:pPr>
      <w:r>
        <w:rPr>
          <w:rFonts w:ascii="Arial" w:hAnsi="Arial" w:cs="Arial"/>
          <w:sz w:val="24"/>
          <w:szCs w:val="24"/>
        </w:rPr>
        <w:t>Specialist Nurse in Pain Management</w:t>
      </w:r>
    </w:p>
    <w:p w:rsidR="008E0264" w:rsidRDefault="008E0264" w:rsidP="008E0264">
      <w:pPr>
        <w:spacing w:after="0" w:line="240" w:lineRule="auto"/>
        <w:rPr>
          <w:rFonts w:ascii="Arial" w:hAnsi="Arial" w:cs="Arial"/>
          <w:sz w:val="24"/>
          <w:szCs w:val="24"/>
        </w:rPr>
      </w:pPr>
      <w:r>
        <w:rPr>
          <w:rFonts w:ascii="Arial" w:hAnsi="Arial" w:cs="Arial"/>
          <w:sz w:val="24"/>
          <w:szCs w:val="24"/>
        </w:rPr>
        <w:t>Pain Centre</w:t>
      </w:r>
    </w:p>
    <w:p w:rsidR="008E0264" w:rsidRDefault="008E0264" w:rsidP="008E0264">
      <w:pPr>
        <w:spacing w:after="0" w:line="240" w:lineRule="auto"/>
        <w:rPr>
          <w:rFonts w:ascii="Arial" w:hAnsi="Arial" w:cs="Arial"/>
          <w:sz w:val="24"/>
          <w:szCs w:val="24"/>
        </w:rPr>
      </w:pPr>
      <w:r>
        <w:rPr>
          <w:rFonts w:ascii="Arial" w:hAnsi="Arial" w:cs="Arial"/>
          <w:sz w:val="24"/>
          <w:szCs w:val="24"/>
        </w:rPr>
        <w:t>Salford Royal Foundation Trust</w:t>
      </w:r>
    </w:p>
    <w:p w:rsidR="008E0264" w:rsidRDefault="008E0264" w:rsidP="008E0264">
      <w:pPr>
        <w:spacing w:after="0" w:line="240" w:lineRule="auto"/>
        <w:rPr>
          <w:rFonts w:ascii="Arial" w:hAnsi="Arial" w:cs="Arial"/>
          <w:sz w:val="24"/>
          <w:szCs w:val="24"/>
        </w:rPr>
      </w:pPr>
      <w:r>
        <w:rPr>
          <w:rFonts w:ascii="Arial" w:hAnsi="Arial" w:cs="Arial"/>
          <w:sz w:val="24"/>
          <w:szCs w:val="24"/>
        </w:rPr>
        <w:t>Stott Lane</w:t>
      </w:r>
    </w:p>
    <w:p w:rsidR="008E0264" w:rsidRDefault="008E0264" w:rsidP="008E0264">
      <w:pPr>
        <w:spacing w:after="0" w:line="240" w:lineRule="auto"/>
        <w:rPr>
          <w:rFonts w:ascii="Arial" w:hAnsi="Arial" w:cs="Arial"/>
          <w:sz w:val="24"/>
          <w:szCs w:val="24"/>
        </w:rPr>
      </w:pPr>
      <w:r>
        <w:rPr>
          <w:rFonts w:ascii="Arial" w:hAnsi="Arial" w:cs="Arial"/>
          <w:sz w:val="24"/>
          <w:szCs w:val="24"/>
        </w:rPr>
        <w:t>M6 8HD</w:t>
      </w:r>
    </w:p>
    <w:p w:rsidR="008E0264" w:rsidRDefault="008E0264" w:rsidP="008E0264">
      <w:pPr>
        <w:spacing w:after="0" w:line="240" w:lineRule="auto"/>
        <w:rPr>
          <w:rFonts w:ascii="Arial" w:hAnsi="Arial" w:cs="Arial"/>
          <w:sz w:val="24"/>
          <w:szCs w:val="24"/>
        </w:rPr>
      </w:pPr>
    </w:p>
    <w:p w:rsidR="008E0264" w:rsidRDefault="008E0264" w:rsidP="008E0264">
      <w:pPr>
        <w:spacing w:after="0" w:line="240" w:lineRule="auto"/>
        <w:rPr>
          <w:rFonts w:ascii="Arial" w:hAnsi="Arial" w:cs="Arial"/>
          <w:sz w:val="24"/>
          <w:szCs w:val="24"/>
        </w:rPr>
      </w:pPr>
      <w:r>
        <w:rPr>
          <w:rFonts w:ascii="Arial" w:hAnsi="Arial" w:cs="Arial"/>
          <w:sz w:val="24"/>
          <w:szCs w:val="24"/>
        </w:rPr>
        <w:t>Fionn Murison</w:t>
      </w:r>
    </w:p>
    <w:p w:rsidR="008E0264" w:rsidRDefault="008E0264" w:rsidP="008E0264">
      <w:pPr>
        <w:spacing w:after="0" w:line="240" w:lineRule="auto"/>
        <w:rPr>
          <w:rFonts w:ascii="Arial" w:hAnsi="Arial" w:cs="Arial"/>
          <w:sz w:val="24"/>
          <w:szCs w:val="24"/>
        </w:rPr>
      </w:pPr>
      <w:r>
        <w:rPr>
          <w:rFonts w:ascii="Arial" w:hAnsi="Arial" w:cs="Arial"/>
          <w:sz w:val="24"/>
          <w:szCs w:val="24"/>
        </w:rPr>
        <w:t>Specialist Nurse in Pain Management</w:t>
      </w:r>
    </w:p>
    <w:p w:rsidR="008E0264" w:rsidRDefault="008E0264" w:rsidP="008E0264">
      <w:pPr>
        <w:spacing w:after="0" w:line="240" w:lineRule="auto"/>
        <w:rPr>
          <w:rFonts w:ascii="Arial" w:hAnsi="Arial" w:cs="Arial"/>
          <w:sz w:val="24"/>
          <w:szCs w:val="24"/>
        </w:rPr>
      </w:pPr>
      <w:r>
        <w:rPr>
          <w:rFonts w:ascii="Arial" w:hAnsi="Arial" w:cs="Arial"/>
          <w:sz w:val="24"/>
          <w:szCs w:val="24"/>
        </w:rPr>
        <w:t>Pain Centre</w:t>
      </w:r>
    </w:p>
    <w:p w:rsidR="008E0264" w:rsidRDefault="008E0264" w:rsidP="008E0264">
      <w:pPr>
        <w:spacing w:after="0" w:line="240" w:lineRule="auto"/>
        <w:rPr>
          <w:rFonts w:ascii="Arial" w:hAnsi="Arial" w:cs="Arial"/>
          <w:sz w:val="24"/>
          <w:szCs w:val="24"/>
        </w:rPr>
      </w:pPr>
      <w:r>
        <w:rPr>
          <w:rFonts w:ascii="Arial" w:hAnsi="Arial" w:cs="Arial"/>
          <w:sz w:val="24"/>
          <w:szCs w:val="24"/>
        </w:rPr>
        <w:t>Salford Royal Foundation Trust</w:t>
      </w:r>
    </w:p>
    <w:p w:rsidR="008E0264" w:rsidRDefault="008E0264" w:rsidP="008E0264">
      <w:pPr>
        <w:spacing w:after="0" w:line="240" w:lineRule="auto"/>
        <w:rPr>
          <w:rFonts w:ascii="Arial" w:hAnsi="Arial" w:cs="Arial"/>
          <w:sz w:val="24"/>
          <w:szCs w:val="24"/>
        </w:rPr>
      </w:pPr>
      <w:r>
        <w:rPr>
          <w:rFonts w:ascii="Arial" w:hAnsi="Arial" w:cs="Arial"/>
          <w:sz w:val="24"/>
          <w:szCs w:val="24"/>
        </w:rPr>
        <w:t>Stott Lane</w:t>
      </w:r>
    </w:p>
    <w:p w:rsidR="008E0264" w:rsidRDefault="008E0264" w:rsidP="008E0264">
      <w:pPr>
        <w:spacing w:after="0" w:line="240" w:lineRule="auto"/>
        <w:rPr>
          <w:rFonts w:ascii="Arial" w:hAnsi="Arial" w:cs="Arial"/>
          <w:sz w:val="24"/>
          <w:szCs w:val="24"/>
        </w:rPr>
      </w:pPr>
      <w:r>
        <w:rPr>
          <w:rFonts w:ascii="Arial" w:hAnsi="Arial" w:cs="Arial"/>
          <w:sz w:val="24"/>
          <w:szCs w:val="24"/>
        </w:rPr>
        <w:t>M6 8HD</w:t>
      </w:r>
    </w:p>
    <w:p w:rsidR="008E0264" w:rsidRDefault="008E0264" w:rsidP="008E0264">
      <w:pPr>
        <w:spacing w:after="0" w:line="240" w:lineRule="auto"/>
        <w:rPr>
          <w:rFonts w:ascii="Arial" w:hAnsi="Arial" w:cs="Arial"/>
          <w:sz w:val="24"/>
          <w:szCs w:val="24"/>
        </w:rPr>
      </w:pPr>
    </w:p>
    <w:p w:rsidR="008E0264" w:rsidRDefault="008E0264" w:rsidP="008E0264">
      <w:pPr>
        <w:spacing w:after="0" w:line="240" w:lineRule="auto"/>
        <w:rPr>
          <w:rFonts w:ascii="Arial" w:hAnsi="Arial" w:cs="Arial"/>
          <w:sz w:val="24"/>
          <w:szCs w:val="24"/>
        </w:rPr>
      </w:pPr>
      <w:r>
        <w:rPr>
          <w:rFonts w:ascii="Arial" w:hAnsi="Arial" w:cs="Arial"/>
          <w:sz w:val="24"/>
          <w:szCs w:val="24"/>
        </w:rPr>
        <w:t>Alison Dwyer</w:t>
      </w:r>
      <w:r w:rsidRPr="008E0264">
        <w:rPr>
          <w:rFonts w:ascii="Arial" w:hAnsi="Arial" w:cs="Arial"/>
          <w:sz w:val="24"/>
          <w:szCs w:val="24"/>
        </w:rPr>
        <w:t xml:space="preserve"> </w:t>
      </w:r>
      <w:r>
        <w:rPr>
          <w:rFonts w:ascii="Arial" w:hAnsi="Arial" w:cs="Arial"/>
          <w:sz w:val="24"/>
          <w:szCs w:val="24"/>
        </w:rPr>
        <w:t>Pain Centre</w:t>
      </w:r>
    </w:p>
    <w:p w:rsidR="008E0264" w:rsidRDefault="008E0264" w:rsidP="008E0264">
      <w:pPr>
        <w:spacing w:after="0" w:line="240" w:lineRule="auto"/>
        <w:rPr>
          <w:rFonts w:ascii="Arial" w:hAnsi="Arial" w:cs="Arial"/>
          <w:sz w:val="24"/>
          <w:szCs w:val="24"/>
        </w:rPr>
      </w:pPr>
      <w:r>
        <w:rPr>
          <w:rFonts w:ascii="Arial" w:hAnsi="Arial" w:cs="Arial"/>
          <w:sz w:val="24"/>
          <w:szCs w:val="24"/>
        </w:rPr>
        <w:t>Consultant Nurse in Pain Management</w:t>
      </w:r>
    </w:p>
    <w:p w:rsidR="008E0264" w:rsidRDefault="008E0264" w:rsidP="008E0264">
      <w:pPr>
        <w:spacing w:after="0" w:line="240" w:lineRule="auto"/>
        <w:rPr>
          <w:rFonts w:ascii="Arial" w:hAnsi="Arial" w:cs="Arial"/>
          <w:sz w:val="24"/>
          <w:szCs w:val="24"/>
        </w:rPr>
      </w:pPr>
      <w:r>
        <w:rPr>
          <w:rFonts w:ascii="Arial" w:hAnsi="Arial" w:cs="Arial"/>
          <w:sz w:val="24"/>
          <w:szCs w:val="24"/>
        </w:rPr>
        <w:t>Salford Royal Foundation Trust</w:t>
      </w:r>
    </w:p>
    <w:p w:rsidR="008E0264" w:rsidRDefault="008E0264" w:rsidP="008E0264">
      <w:pPr>
        <w:spacing w:after="0" w:line="240" w:lineRule="auto"/>
        <w:rPr>
          <w:rFonts w:ascii="Arial" w:hAnsi="Arial" w:cs="Arial"/>
          <w:sz w:val="24"/>
          <w:szCs w:val="24"/>
        </w:rPr>
      </w:pPr>
      <w:r>
        <w:rPr>
          <w:rFonts w:ascii="Arial" w:hAnsi="Arial" w:cs="Arial"/>
          <w:sz w:val="24"/>
          <w:szCs w:val="24"/>
        </w:rPr>
        <w:t>Stott Lane</w:t>
      </w:r>
    </w:p>
    <w:p w:rsidR="008E0264" w:rsidRDefault="008E0264" w:rsidP="008E0264">
      <w:pPr>
        <w:spacing w:after="0" w:line="240" w:lineRule="auto"/>
        <w:rPr>
          <w:rFonts w:ascii="Arial" w:hAnsi="Arial" w:cs="Arial"/>
          <w:sz w:val="24"/>
          <w:szCs w:val="24"/>
        </w:rPr>
      </w:pPr>
      <w:r>
        <w:rPr>
          <w:rFonts w:ascii="Arial" w:hAnsi="Arial" w:cs="Arial"/>
          <w:sz w:val="24"/>
          <w:szCs w:val="24"/>
        </w:rPr>
        <w:t>M6 8HD</w:t>
      </w:r>
    </w:p>
    <w:p w:rsidR="008E0264" w:rsidRDefault="008E0264" w:rsidP="008E0264">
      <w:pPr>
        <w:spacing w:after="0" w:line="240" w:lineRule="auto"/>
        <w:rPr>
          <w:rFonts w:ascii="Arial" w:hAnsi="Arial" w:cs="Arial"/>
          <w:sz w:val="24"/>
          <w:szCs w:val="24"/>
        </w:rPr>
      </w:pPr>
    </w:p>
    <w:p w:rsidR="008E0264" w:rsidRDefault="008E0264" w:rsidP="008E0264">
      <w:pPr>
        <w:spacing w:after="0" w:line="240" w:lineRule="auto"/>
        <w:rPr>
          <w:rFonts w:ascii="Arial" w:hAnsi="Arial" w:cs="Arial"/>
          <w:sz w:val="24"/>
          <w:szCs w:val="24"/>
        </w:rPr>
      </w:pPr>
      <w:r>
        <w:rPr>
          <w:rFonts w:ascii="Arial" w:hAnsi="Arial" w:cs="Arial"/>
          <w:sz w:val="24"/>
          <w:szCs w:val="24"/>
        </w:rPr>
        <w:t>Rick Makin</w:t>
      </w:r>
    </w:p>
    <w:p w:rsidR="008E0264" w:rsidRDefault="008E0264" w:rsidP="008E0264">
      <w:pPr>
        <w:spacing w:after="0" w:line="240" w:lineRule="auto"/>
        <w:rPr>
          <w:rFonts w:ascii="Arial" w:hAnsi="Arial" w:cs="Arial"/>
          <w:sz w:val="24"/>
          <w:szCs w:val="24"/>
        </w:rPr>
      </w:pPr>
      <w:r>
        <w:rPr>
          <w:rFonts w:ascii="Arial" w:hAnsi="Arial" w:cs="Arial"/>
          <w:sz w:val="24"/>
          <w:szCs w:val="24"/>
        </w:rPr>
        <w:t>Consultant in Pain Management and Anaesthesia</w:t>
      </w:r>
    </w:p>
    <w:p w:rsidR="008E0264" w:rsidRDefault="008E0264" w:rsidP="008E0264">
      <w:pPr>
        <w:spacing w:after="0" w:line="240" w:lineRule="auto"/>
        <w:rPr>
          <w:rFonts w:ascii="Arial" w:hAnsi="Arial" w:cs="Arial"/>
          <w:sz w:val="24"/>
          <w:szCs w:val="24"/>
        </w:rPr>
      </w:pPr>
      <w:r>
        <w:rPr>
          <w:rFonts w:ascii="Arial" w:hAnsi="Arial" w:cs="Arial"/>
          <w:sz w:val="24"/>
          <w:szCs w:val="24"/>
        </w:rPr>
        <w:t>Pain Centre</w:t>
      </w:r>
    </w:p>
    <w:p w:rsidR="008E0264" w:rsidRDefault="008E0264" w:rsidP="008E0264">
      <w:pPr>
        <w:spacing w:after="0" w:line="240" w:lineRule="auto"/>
        <w:rPr>
          <w:rFonts w:ascii="Arial" w:hAnsi="Arial" w:cs="Arial"/>
          <w:sz w:val="24"/>
          <w:szCs w:val="24"/>
        </w:rPr>
      </w:pPr>
      <w:r>
        <w:rPr>
          <w:rFonts w:ascii="Arial" w:hAnsi="Arial" w:cs="Arial"/>
          <w:sz w:val="24"/>
          <w:szCs w:val="24"/>
        </w:rPr>
        <w:t>Salford Royal Foundation Trust</w:t>
      </w:r>
    </w:p>
    <w:p w:rsidR="008E0264" w:rsidRDefault="008E0264" w:rsidP="008E0264">
      <w:pPr>
        <w:spacing w:after="0" w:line="240" w:lineRule="auto"/>
        <w:rPr>
          <w:rFonts w:ascii="Arial" w:hAnsi="Arial" w:cs="Arial"/>
          <w:sz w:val="24"/>
          <w:szCs w:val="24"/>
        </w:rPr>
      </w:pPr>
      <w:r>
        <w:rPr>
          <w:rFonts w:ascii="Arial" w:hAnsi="Arial" w:cs="Arial"/>
          <w:sz w:val="24"/>
          <w:szCs w:val="24"/>
        </w:rPr>
        <w:t>Stott Lane</w:t>
      </w:r>
    </w:p>
    <w:p w:rsidR="008E0264" w:rsidRDefault="008E0264" w:rsidP="008E0264">
      <w:pPr>
        <w:spacing w:after="0" w:line="240" w:lineRule="auto"/>
        <w:rPr>
          <w:rFonts w:ascii="Arial" w:hAnsi="Arial" w:cs="Arial"/>
          <w:sz w:val="24"/>
          <w:szCs w:val="24"/>
        </w:rPr>
      </w:pPr>
      <w:r>
        <w:rPr>
          <w:rFonts w:ascii="Arial" w:hAnsi="Arial" w:cs="Arial"/>
          <w:sz w:val="24"/>
          <w:szCs w:val="24"/>
        </w:rPr>
        <w:t>M6 8HD</w:t>
      </w:r>
    </w:p>
    <w:p w:rsidR="008E0264" w:rsidRDefault="008E0264" w:rsidP="008E0264">
      <w:pPr>
        <w:spacing w:after="0" w:line="240" w:lineRule="auto"/>
        <w:rPr>
          <w:rFonts w:ascii="Arial" w:hAnsi="Arial" w:cs="Arial"/>
          <w:sz w:val="24"/>
          <w:szCs w:val="24"/>
        </w:rPr>
      </w:pPr>
    </w:p>
    <w:p w:rsidR="008E0264" w:rsidRDefault="008E0264" w:rsidP="008E0264">
      <w:pPr>
        <w:spacing w:after="0" w:line="240" w:lineRule="auto"/>
        <w:rPr>
          <w:rFonts w:ascii="Arial" w:hAnsi="Arial" w:cs="Arial"/>
          <w:sz w:val="24"/>
          <w:szCs w:val="24"/>
        </w:rPr>
      </w:pPr>
    </w:p>
    <w:p w:rsidR="008E0264" w:rsidRDefault="008E0264" w:rsidP="00733265">
      <w:pPr>
        <w:spacing w:after="0" w:line="240" w:lineRule="auto"/>
        <w:rPr>
          <w:rFonts w:ascii="Arial" w:hAnsi="Arial" w:cs="Arial"/>
          <w:sz w:val="24"/>
          <w:szCs w:val="24"/>
        </w:rPr>
      </w:pPr>
    </w:p>
    <w:p w:rsidR="00733265" w:rsidRPr="00733265" w:rsidRDefault="00733265">
      <w:pPr>
        <w:rPr>
          <w:rFonts w:ascii="Arial" w:hAnsi="Arial" w:cs="Arial"/>
          <w:sz w:val="24"/>
          <w:szCs w:val="24"/>
        </w:rPr>
      </w:pPr>
    </w:p>
    <w:p w:rsidR="00733265" w:rsidRDefault="00733265">
      <w:pPr>
        <w:rPr>
          <w:rFonts w:ascii="Arial" w:hAnsi="Arial" w:cs="Arial"/>
          <w:b/>
          <w:sz w:val="24"/>
          <w:szCs w:val="24"/>
        </w:rPr>
      </w:pPr>
      <w:r>
        <w:rPr>
          <w:rFonts w:ascii="Arial" w:hAnsi="Arial" w:cs="Arial"/>
          <w:b/>
          <w:sz w:val="24"/>
          <w:szCs w:val="24"/>
        </w:rPr>
        <w:br w:type="page"/>
      </w:r>
    </w:p>
    <w:p w:rsidR="006F1710" w:rsidRPr="007F7887" w:rsidRDefault="006F1710">
      <w:pPr>
        <w:rPr>
          <w:rFonts w:ascii="Arial" w:hAnsi="Arial" w:cs="Arial"/>
          <w:b/>
          <w:sz w:val="24"/>
          <w:szCs w:val="24"/>
        </w:rPr>
      </w:pPr>
      <w:r w:rsidRPr="007F7887">
        <w:rPr>
          <w:rFonts w:ascii="Arial" w:hAnsi="Arial" w:cs="Arial"/>
          <w:b/>
          <w:sz w:val="24"/>
          <w:szCs w:val="24"/>
        </w:rPr>
        <w:lastRenderedPageBreak/>
        <w:t>Title:  Pain management in trauma associated with rib fractures</w:t>
      </w:r>
    </w:p>
    <w:p w:rsidR="006F1710" w:rsidRPr="007F7887" w:rsidRDefault="006F1710">
      <w:pPr>
        <w:rPr>
          <w:rFonts w:ascii="Arial" w:hAnsi="Arial" w:cs="Arial"/>
          <w:b/>
          <w:sz w:val="24"/>
          <w:szCs w:val="24"/>
        </w:rPr>
      </w:pPr>
      <w:r w:rsidRPr="007F7887">
        <w:rPr>
          <w:rFonts w:ascii="Arial" w:hAnsi="Arial" w:cs="Arial"/>
          <w:b/>
          <w:sz w:val="24"/>
          <w:szCs w:val="24"/>
        </w:rPr>
        <w:t>Background</w:t>
      </w:r>
    </w:p>
    <w:p w:rsidR="006F1710" w:rsidRDefault="006F1710" w:rsidP="006F1710">
      <w:pPr>
        <w:rPr>
          <w:rFonts w:ascii="Arial" w:hAnsi="Arial" w:cs="Arial"/>
          <w:sz w:val="24"/>
          <w:szCs w:val="24"/>
        </w:rPr>
      </w:pPr>
      <w:r w:rsidRPr="006F1710">
        <w:rPr>
          <w:rFonts w:ascii="Arial" w:hAnsi="Arial" w:cs="Arial"/>
          <w:sz w:val="24"/>
          <w:szCs w:val="24"/>
          <w:lang w:val="en-US"/>
        </w:rPr>
        <w:t xml:space="preserve">Rib fractures are associated with increased mortality and morbidity. The development of pneumonia has a huge impact on </w:t>
      </w:r>
      <w:proofErr w:type="gramStart"/>
      <w:r w:rsidR="007F7887">
        <w:rPr>
          <w:rFonts w:ascii="Arial" w:hAnsi="Arial" w:cs="Arial"/>
          <w:sz w:val="24"/>
          <w:szCs w:val="24"/>
          <w:lang w:val="en-US"/>
        </w:rPr>
        <w:t>mortality,</w:t>
      </w:r>
      <w:proofErr w:type="gramEnd"/>
      <w:r w:rsidRPr="006F1710">
        <w:rPr>
          <w:rFonts w:ascii="Arial" w:hAnsi="Arial" w:cs="Arial"/>
          <w:sz w:val="24"/>
          <w:szCs w:val="24"/>
          <w:lang w:val="en-US"/>
        </w:rPr>
        <w:t xml:space="preserve"> especially in the elderly</w:t>
      </w:r>
      <w:r>
        <w:rPr>
          <w:rFonts w:ascii="Arial" w:hAnsi="Arial" w:cs="Arial"/>
          <w:sz w:val="24"/>
          <w:szCs w:val="24"/>
          <w:lang w:val="en-US"/>
        </w:rPr>
        <w:t>.</w:t>
      </w:r>
      <w:r w:rsidRPr="006F1710">
        <w:rPr>
          <w:rFonts w:ascii="Arial" w:hAnsi="Arial" w:cs="Arial"/>
          <w:sz w:val="24"/>
          <w:szCs w:val="24"/>
          <w:vertAlign w:val="superscript"/>
          <w:lang w:val="en-US"/>
        </w:rPr>
        <w:t>1</w:t>
      </w:r>
      <w:r>
        <w:rPr>
          <w:rFonts w:ascii="Arial" w:hAnsi="Arial" w:cs="Arial"/>
          <w:sz w:val="24"/>
          <w:szCs w:val="24"/>
          <w:lang w:val="en-US"/>
        </w:rPr>
        <w:t xml:space="preserve"> The</w:t>
      </w:r>
      <w:r w:rsidRPr="006F1710">
        <w:rPr>
          <w:rFonts w:ascii="Arial" w:hAnsi="Arial" w:cs="Arial"/>
          <w:sz w:val="24"/>
          <w:szCs w:val="24"/>
          <w:lang w:val="en-US"/>
        </w:rPr>
        <w:t xml:space="preserve"> key goal of management is to prevent respiratory complications through adequate analgesia and pulmonary volume expansion.  </w:t>
      </w:r>
      <w:r>
        <w:rPr>
          <w:rFonts w:ascii="Arial" w:hAnsi="Arial" w:cs="Arial"/>
          <w:sz w:val="24"/>
          <w:szCs w:val="24"/>
        </w:rPr>
        <w:t>In our level 1 trauma centre, p</w:t>
      </w:r>
      <w:r w:rsidRPr="006F1710">
        <w:rPr>
          <w:rFonts w:ascii="Arial" w:hAnsi="Arial" w:cs="Arial"/>
          <w:sz w:val="24"/>
          <w:szCs w:val="24"/>
        </w:rPr>
        <w:t>atients are triaged for appropriate treatment based on Rib fracture scores (RFS) which is a  recognised scoring system based on severity of fractures adjusted for age.</w:t>
      </w:r>
      <w:r w:rsidR="00360B8D" w:rsidRPr="00360B8D">
        <w:rPr>
          <w:rFonts w:ascii="Arial" w:hAnsi="Arial" w:cs="Arial"/>
          <w:bCs/>
          <w:sz w:val="24"/>
          <w:szCs w:val="24"/>
          <w:vertAlign w:val="superscript"/>
        </w:rPr>
        <w:t>2</w:t>
      </w:r>
      <w:r w:rsidRPr="006F1710">
        <w:rPr>
          <w:rFonts w:ascii="Arial" w:hAnsi="Arial" w:cs="Arial"/>
          <w:sz w:val="24"/>
          <w:szCs w:val="24"/>
        </w:rPr>
        <w:t xml:space="preserve"> The utility of RFS is however unclear. </w:t>
      </w:r>
    </w:p>
    <w:p w:rsidR="006F1710" w:rsidRPr="007F7887" w:rsidRDefault="006F1710" w:rsidP="006F1710">
      <w:pPr>
        <w:rPr>
          <w:rFonts w:ascii="Arial" w:hAnsi="Arial" w:cs="Arial"/>
          <w:b/>
          <w:sz w:val="24"/>
          <w:szCs w:val="24"/>
        </w:rPr>
      </w:pPr>
    </w:p>
    <w:p w:rsidR="006F1710" w:rsidRPr="007F7887" w:rsidRDefault="006F1710" w:rsidP="006F1710">
      <w:pPr>
        <w:rPr>
          <w:rFonts w:ascii="Arial" w:hAnsi="Arial" w:cs="Arial"/>
          <w:b/>
          <w:sz w:val="24"/>
          <w:szCs w:val="24"/>
        </w:rPr>
      </w:pPr>
      <w:r w:rsidRPr="007F7887">
        <w:rPr>
          <w:rFonts w:ascii="Arial" w:hAnsi="Arial" w:cs="Arial"/>
          <w:b/>
          <w:sz w:val="24"/>
          <w:szCs w:val="24"/>
        </w:rPr>
        <w:t>Aims and Objectives</w:t>
      </w:r>
    </w:p>
    <w:p w:rsidR="004F1115" w:rsidRDefault="006F1710" w:rsidP="006F1710">
      <w:pPr>
        <w:rPr>
          <w:rFonts w:ascii="Arial" w:hAnsi="Arial" w:cs="Arial"/>
          <w:sz w:val="24"/>
          <w:szCs w:val="24"/>
        </w:rPr>
      </w:pPr>
      <w:r w:rsidRPr="006F1710">
        <w:rPr>
          <w:rFonts w:ascii="Arial" w:hAnsi="Arial" w:cs="Arial"/>
          <w:sz w:val="24"/>
          <w:szCs w:val="24"/>
        </w:rPr>
        <w:t>The purpose of this review was to describe the patient profile, outcomes in terms of respiratory morbidity and 30 day mortality and the utility of the scoring system.</w:t>
      </w:r>
    </w:p>
    <w:p w:rsidR="006F1710" w:rsidRPr="007F7887" w:rsidRDefault="006F1710" w:rsidP="006F1710">
      <w:pPr>
        <w:rPr>
          <w:rFonts w:ascii="Arial" w:hAnsi="Arial" w:cs="Arial"/>
          <w:b/>
          <w:sz w:val="24"/>
          <w:szCs w:val="24"/>
        </w:rPr>
      </w:pPr>
    </w:p>
    <w:p w:rsidR="006F1710" w:rsidRPr="007F7887" w:rsidRDefault="006F1710" w:rsidP="006F1710">
      <w:pPr>
        <w:rPr>
          <w:rFonts w:ascii="Arial" w:hAnsi="Arial" w:cs="Arial"/>
          <w:b/>
          <w:sz w:val="24"/>
          <w:szCs w:val="24"/>
        </w:rPr>
      </w:pPr>
      <w:r w:rsidRPr="007F7887">
        <w:rPr>
          <w:rFonts w:ascii="Arial" w:hAnsi="Arial" w:cs="Arial"/>
          <w:b/>
          <w:sz w:val="24"/>
          <w:szCs w:val="24"/>
        </w:rPr>
        <w:t>Methods</w:t>
      </w:r>
    </w:p>
    <w:p w:rsidR="006F1710" w:rsidRPr="006F1710" w:rsidRDefault="006F1710" w:rsidP="006F1710">
      <w:pPr>
        <w:rPr>
          <w:rFonts w:ascii="Arial" w:hAnsi="Arial" w:cs="Arial"/>
          <w:sz w:val="24"/>
          <w:szCs w:val="24"/>
        </w:rPr>
      </w:pPr>
      <w:r w:rsidRPr="006F1710">
        <w:rPr>
          <w:rFonts w:ascii="Arial" w:hAnsi="Arial" w:cs="Arial"/>
          <w:sz w:val="24"/>
          <w:szCs w:val="24"/>
        </w:rPr>
        <w:t>A review of prospectively collected data from November 2015 t</w:t>
      </w:r>
      <w:r w:rsidR="007F7887">
        <w:rPr>
          <w:rFonts w:ascii="Arial" w:hAnsi="Arial" w:cs="Arial"/>
          <w:sz w:val="24"/>
          <w:szCs w:val="24"/>
        </w:rPr>
        <w:t>o November 2016 was undertaken including t</w:t>
      </w:r>
      <w:r w:rsidRPr="006F1710">
        <w:rPr>
          <w:rFonts w:ascii="Arial" w:hAnsi="Arial" w:cs="Arial"/>
          <w:sz w:val="24"/>
          <w:szCs w:val="24"/>
        </w:rPr>
        <w:t>reatment methods, RFS, fracture profile, comorbidities and respiratory</w:t>
      </w:r>
      <w:r w:rsidR="007F7887">
        <w:rPr>
          <w:rFonts w:ascii="Arial" w:hAnsi="Arial" w:cs="Arial"/>
          <w:sz w:val="24"/>
          <w:szCs w:val="24"/>
        </w:rPr>
        <w:t>.  The Trauma Audit and Research N</w:t>
      </w:r>
      <w:r w:rsidRPr="006F1710">
        <w:rPr>
          <w:rFonts w:ascii="Arial" w:hAnsi="Arial" w:cs="Arial"/>
          <w:sz w:val="24"/>
          <w:szCs w:val="24"/>
        </w:rPr>
        <w:t>etwork (TARN) database was interrogated to determine 30 day mortality and predicted survival.  ROC c-statistic was used to determine utility of RFS in predicting outcomes.</w:t>
      </w:r>
    </w:p>
    <w:p w:rsidR="006F1710" w:rsidRDefault="006F1710" w:rsidP="006F1710">
      <w:pPr>
        <w:rPr>
          <w:rFonts w:ascii="Arial" w:hAnsi="Arial" w:cs="Arial"/>
          <w:sz w:val="24"/>
          <w:szCs w:val="24"/>
        </w:rPr>
      </w:pPr>
    </w:p>
    <w:p w:rsidR="006F1710" w:rsidRPr="007F7887" w:rsidRDefault="00AE6991" w:rsidP="006F1710">
      <w:pPr>
        <w:rPr>
          <w:rFonts w:ascii="Arial" w:hAnsi="Arial" w:cs="Arial"/>
          <w:b/>
          <w:sz w:val="24"/>
          <w:szCs w:val="24"/>
        </w:rPr>
      </w:pPr>
      <w:r w:rsidRPr="007F7887">
        <w:rPr>
          <w:rFonts w:ascii="Arial" w:hAnsi="Arial" w:cs="Arial"/>
          <w:b/>
          <w:sz w:val="24"/>
          <w:szCs w:val="24"/>
        </w:rPr>
        <w:t>Main Results</w:t>
      </w:r>
    </w:p>
    <w:p w:rsidR="00AE6991" w:rsidRPr="00AE6991" w:rsidRDefault="00AE6991" w:rsidP="00AE6991">
      <w:pPr>
        <w:rPr>
          <w:rFonts w:ascii="Arial" w:hAnsi="Arial" w:cs="Arial"/>
          <w:sz w:val="24"/>
          <w:szCs w:val="24"/>
        </w:rPr>
      </w:pPr>
      <w:r w:rsidRPr="00AE6991">
        <w:rPr>
          <w:rFonts w:ascii="Arial" w:hAnsi="Arial" w:cs="Arial"/>
          <w:sz w:val="24"/>
          <w:szCs w:val="24"/>
        </w:rPr>
        <w:t xml:space="preserve">Data was available for 137 patient admitted with trauma associated with rib fractures in the audit period. 19.5% of patients had ≥6 rib fractures, all of whom had flail segments, indicating the severity of trauma. 9.5% had bilateral rib fractures. </w:t>
      </w:r>
    </w:p>
    <w:p w:rsidR="00AE6991" w:rsidRPr="00AE6991" w:rsidRDefault="00AE6991" w:rsidP="00AE6991">
      <w:pPr>
        <w:rPr>
          <w:rFonts w:ascii="Arial" w:hAnsi="Arial" w:cs="Arial"/>
          <w:sz w:val="24"/>
          <w:szCs w:val="24"/>
        </w:rPr>
      </w:pPr>
      <w:r w:rsidRPr="00AE6991">
        <w:rPr>
          <w:rFonts w:ascii="Arial" w:hAnsi="Arial" w:cs="Arial"/>
          <w:sz w:val="24"/>
          <w:szCs w:val="24"/>
        </w:rPr>
        <w:t>Although RTA was the predominant mechanism of injury</w:t>
      </w:r>
      <w:r>
        <w:rPr>
          <w:rFonts w:ascii="Arial" w:hAnsi="Arial" w:cs="Arial"/>
          <w:sz w:val="24"/>
          <w:szCs w:val="24"/>
        </w:rPr>
        <w:t xml:space="preserve"> overall (64%)</w:t>
      </w:r>
      <w:r w:rsidRPr="00AE6991">
        <w:rPr>
          <w:rFonts w:ascii="Arial" w:hAnsi="Arial" w:cs="Arial"/>
          <w:sz w:val="24"/>
          <w:szCs w:val="24"/>
        </w:rPr>
        <w:t>, older patients (age&gt;65) were more likely to be injured following a fall</w:t>
      </w:r>
      <w:r>
        <w:rPr>
          <w:rFonts w:ascii="Arial" w:hAnsi="Arial" w:cs="Arial"/>
          <w:sz w:val="24"/>
          <w:szCs w:val="24"/>
        </w:rPr>
        <w:t xml:space="preserve"> (77% vs 53%)</w:t>
      </w:r>
      <w:r w:rsidRPr="00AE6991">
        <w:rPr>
          <w:rFonts w:ascii="Arial" w:hAnsi="Arial" w:cs="Arial"/>
          <w:sz w:val="24"/>
          <w:szCs w:val="24"/>
        </w:rPr>
        <w:t>. This is in keeping with the changing demographics of trauma.</w:t>
      </w:r>
      <w:r w:rsidRPr="00AE6991">
        <w:rPr>
          <w:rFonts w:ascii="Arial" w:hAnsi="Arial" w:cs="Arial"/>
          <w:b/>
          <w:bCs/>
          <w:sz w:val="24"/>
          <w:szCs w:val="24"/>
          <w:vertAlign w:val="superscript"/>
        </w:rPr>
        <w:t>2</w:t>
      </w:r>
    </w:p>
    <w:p w:rsidR="00AE6991" w:rsidRDefault="00AE6991" w:rsidP="006F1710">
      <w:pPr>
        <w:rPr>
          <w:rFonts w:ascii="Arial" w:hAnsi="Arial" w:cs="Arial"/>
          <w:sz w:val="24"/>
          <w:szCs w:val="24"/>
        </w:rPr>
      </w:pPr>
      <w:r>
        <w:rPr>
          <w:rFonts w:ascii="Arial" w:hAnsi="Arial" w:cs="Arial"/>
          <w:sz w:val="24"/>
          <w:szCs w:val="24"/>
        </w:rPr>
        <w:t>78% of patients were assessed by the pain team within 24 hours. 18% received epidural analgesia, 63% PCA, 26% NSAID, 96% paracetamol and 38% received gabapentin.</w:t>
      </w:r>
    </w:p>
    <w:p w:rsidR="00AE6991" w:rsidRDefault="00AE6991" w:rsidP="00AE6991">
      <w:pPr>
        <w:rPr>
          <w:rFonts w:ascii="Arial" w:hAnsi="Arial" w:cs="Arial"/>
          <w:sz w:val="24"/>
          <w:szCs w:val="24"/>
        </w:rPr>
      </w:pPr>
      <w:r w:rsidRPr="00AE6991">
        <w:rPr>
          <w:rFonts w:ascii="Arial" w:hAnsi="Arial" w:cs="Arial"/>
          <w:sz w:val="24"/>
          <w:szCs w:val="24"/>
        </w:rPr>
        <w:t xml:space="preserve">The mortality rate was 7.3%. Case note review of these patients suggested these deaths were not preventable.  The mortality rate in a similar group of patients over the previous 5 years was 12.9%. </w:t>
      </w:r>
    </w:p>
    <w:p w:rsidR="00AE6991" w:rsidRDefault="00AE6991" w:rsidP="00AE6991">
      <w:pPr>
        <w:rPr>
          <w:rFonts w:ascii="Arial" w:hAnsi="Arial" w:cs="Arial"/>
          <w:sz w:val="24"/>
          <w:szCs w:val="24"/>
        </w:rPr>
      </w:pPr>
      <w:r w:rsidRPr="00AE6991">
        <w:rPr>
          <w:rFonts w:ascii="Arial" w:hAnsi="Arial" w:cs="Arial"/>
          <w:sz w:val="24"/>
          <w:szCs w:val="24"/>
        </w:rPr>
        <w:lastRenderedPageBreak/>
        <w:t xml:space="preserve">About 16% developed respiratory complications. Elderly patients developed respiratory complications in spite of lower RFS scores as compared to younger patients. Younger patients who developed respiratory complications had higher scores, possibly related to high impact injuries from RTA. </w:t>
      </w:r>
    </w:p>
    <w:p w:rsidR="00360B8D" w:rsidRPr="00360B8D" w:rsidRDefault="00360B8D" w:rsidP="00360B8D">
      <w:pPr>
        <w:rPr>
          <w:rFonts w:ascii="Arial" w:hAnsi="Arial" w:cs="Arial"/>
          <w:sz w:val="24"/>
          <w:szCs w:val="24"/>
        </w:rPr>
      </w:pPr>
      <w:r>
        <w:rPr>
          <w:rFonts w:ascii="Arial" w:hAnsi="Arial" w:cs="Arial"/>
          <w:sz w:val="24"/>
          <w:szCs w:val="24"/>
        </w:rPr>
        <w:t xml:space="preserve">ROC curves for RFS scores showed poor discrimination for respiratory morbidity (sensitivity </w:t>
      </w:r>
      <w:r w:rsidRPr="00360B8D">
        <w:rPr>
          <w:rFonts w:ascii="Arial" w:hAnsi="Arial" w:cs="Arial"/>
          <w:sz w:val="24"/>
          <w:szCs w:val="24"/>
        </w:rPr>
        <w:t>55%</w:t>
      </w:r>
      <w:r>
        <w:rPr>
          <w:rFonts w:ascii="Arial" w:hAnsi="Arial" w:cs="Arial"/>
          <w:sz w:val="24"/>
          <w:szCs w:val="24"/>
        </w:rPr>
        <w:t xml:space="preserve">, specificity </w:t>
      </w:r>
      <w:r w:rsidRPr="00360B8D">
        <w:rPr>
          <w:rFonts w:ascii="Arial" w:hAnsi="Arial" w:cs="Arial"/>
          <w:sz w:val="24"/>
          <w:szCs w:val="24"/>
        </w:rPr>
        <w:t>61.6%</w:t>
      </w:r>
      <w:r>
        <w:rPr>
          <w:rFonts w:ascii="Arial" w:hAnsi="Arial" w:cs="Arial"/>
          <w:sz w:val="24"/>
          <w:szCs w:val="24"/>
        </w:rPr>
        <w:t xml:space="preserve">, fitted ROC Area </w:t>
      </w:r>
      <w:r w:rsidRPr="00360B8D">
        <w:rPr>
          <w:rFonts w:ascii="Arial" w:hAnsi="Arial" w:cs="Arial"/>
          <w:sz w:val="24"/>
          <w:szCs w:val="24"/>
        </w:rPr>
        <w:t>0.66</w:t>
      </w:r>
      <w:r>
        <w:rPr>
          <w:rFonts w:ascii="Arial" w:hAnsi="Arial" w:cs="Arial"/>
          <w:sz w:val="24"/>
          <w:szCs w:val="24"/>
        </w:rPr>
        <w:t xml:space="preserve">). </w:t>
      </w:r>
      <w:r w:rsidRPr="00360B8D">
        <w:rPr>
          <w:rFonts w:ascii="Arial" w:hAnsi="Arial" w:cs="Arial"/>
          <w:sz w:val="24"/>
          <w:szCs w:val="24"/>
        </w:rPr>
        <w:t xml:space="preserve">Elderly patients who developed respiratory complications often had pre-existing respiratory disease.  </w:t>
      </w:r>
    </w:p>
    <w:p w:rsidR="00360B8D" w:rsidRDefault="00360B8D" w:rsidP="00AE6991">
      <w:pPr>
        <w:rPr>
          <w:rFonts w:ascii="Arial" w:hAnsi="Arial" w:cs="Arial"/>
          <w:sz w:val="24"/>
          <w:szCs w:val="24"/>
        </w:rPr>
      </w:pPr>
    </w:p>
    <w:p w:rsidR="00360B8D" w:rsidRPr="007F7887" w:rsidRDefault="00360B8D" w:rsidP="00AE6991">
      <w:pPr>
        <w:rPr>
          <w:rFonts w:ascii="Arial" w:hAnsi="Arial" w:cs="Arial"/>
          <w:b/>
          <w:sz w:val="24"/>
          <w:szCs w:val="24"/>
        </w:rPr>
      </w:pPr>
      <w:r w:rsidRPr="007F7887">
        <w:rPr>
          <w:rFonts w:ascii="Arial" w:hAnsi="Arial" w:cs="Arial"/>
          <w:b/>
          <w:sz w:val="24"/>
          <w:szCs w:val="24"/>
        </w:rPr>
        <w:t>Conclusions</w:t>
      </w:r>
    </w:p>
    <w:p w:rsidR="000825B4" w:rsidRPr="00360B8D" w:rsidRDefault="00360B8D" w:rsidP="00360B8D">
      <w:pPr>
        <w:numPr>
          <w:ilvl w:val="0"/>
          <w:numId w:val="1"/>
        </w:numPr>
        <w:rPr>
          <w:rFonts w:ascii="Arial" w:hAnsi="Arial" w:cs="Arial"/>
          <w:sz w:val="24"/>
          <w:szCs w:val="24"/>
        </w:rPr>
      </w:pPr>
      <w:r w:rsidRPr="00360B8D">
        <w:rPr>
          <w:rFonts w:ascii="Arial" w:hAnsi="Arial" w:cs="Arial"/>
          <w:sz w:val="24"/>
          <w:szCs w:val="24"/>
        </w:rPr>
        <w:t xml:space="preserve">Mortality from trauma associated with rib fractures has reduced significantly (12.9 to 7.3%) since November 2015, possibly due to improved multidisciplinary working. </w:t>
      </w:r>
    </w:p>
    <w:p w:rsidR="000825B4" w:rsidRPr="00360B8D" w:rsidRDefault="00360B8D" w:rsidP="00360B8D">
      <w:pPr>
        <w:numPr>
          <w:ilvl w:val="0"/>
          <w:numId w:val="1"/>
        </w:numPr>
        <w:rPr>
          <w:rFonts w:ascii="Arial" w:hAnsi="Arial" w:cs="Arial"/>
          <w:sz w:val="24"/>
          <w:szCs w:val="24"/>
        </w:rPr>
      </w:pPr>
      <w:r w:rsidRPr="00360B8D">
        <w:rPr>
          <w:rFonts w:ascii="Arial" w:hAnsi="Arial" w:cs="Arial"/>
          <w:sz w:val="24"/>
          <w:szCs w:val="24"/>
        </w:rPr>
        <w:t xml:space="preserve">RFS alone does not predict outcomes or analgesia requirements but can assist in early identification of patients with significant trauma. </w:t>
      </w:r>
    </w:p>
    <w:p w:rsidR="000825B4" w:rsidRPr="00360B8D" w:rsidRDefault="00360B8D" w:rsidP="00360B8D">
      <w:pPr>
        <w:numPr>
          <w:ilvl w:val="0"/>
          <w:numId w:val="1"/>
        </w:numPr>
        <w:rPr>
          <w:rFonts w:ascii="Arial" w:hAnsi="Arial" w:cs="Arial"/>
          <w:sz w:val="24"/>
          <w:szCs w:val="24"/>
        </w:rPr>
      </w:pPr>
      <w:r w:rsidRPr="00360B8D">
        <w:rPr>
          <w:rFonts w:ascii="Arial" w:hAnsi="Arial" w:cs="Arial"/>
          <w:sz w:val="24"/>
          <w:szCs w:val="24"/>
        </w:rPr>
        <w:t xml:space="preserve">Elderly patients have increased morbidity despite lower RFS, especially in presence of pre-existing respiratory disease. Aggressive </w:t>
      </w:r>
      <w:proofErr w:type="gramStart"/>
      <w:r w:rsidRPr="00360B8D">
        <w:rPr>
          <w:rFonts w:ascii="Arial" w:hAnsi="Arial" w:cs="Arial"/>
          <w:sz w:val="24"/>
          <w:szCs w:val="24"/>
        </w:rPr>
        <w:t>pain  management</w:t>
      </w:r>
      <w:proofErr w:type="gramEnd"/>
      <w:r w:rsidRPr="00360B8D">
        <w:rPr>
          <w:rFonts w:ascii="Arial" w:hAnsi="Arial" w:cs="Arial"/>
          <w:sz w:val="24"/>
          <w:szCs w:val="24"/>
        </w:rPr>
        <w:t xml:space="preserve"> and early critical care involvement may improve outcomes.</w:t>
      </w:r>
    </w:p>
    <w:p w:rsidR="00360B8D" w:rsidRDefault="00360B8D" w:rsidP="00AE6991">
      <w:pPr>
        <w:rPr>
          <w:rFonts w:ascii="Arial" w:hAnsi="Arial" w:cs="Arial"/>
          <w:sz w:val="24"/>
          <w:szCs w:val="24"/>
        </w:rPr>
      </w:pPr>
    </w:p>
    <w:p w:rsidR="00360B8D" w:rsidRPr="007F7887" w:rsidRDefault="00360B8D" w:rsidP="00AE6991">
      <w:pPr>
        <w:rPr>
          <w:rFonts w:ascii="Arial" w:hAnsi="Arial" w:cs="Arial"/>
          <w:b/>
          <w:sz w:val="24"/>
          <w:szCs w:val="24"/>
        </w:rPr>
      </w:pPr>
      <w:r w:rsidRPr="007F7887">
        <w:rPr>
          <w:rFonts w:ascii="Arial" w:hAnsi="Arial" w:cs="Arial"/>
          <w:b/>
          <w:sz w:val="24"/>
          <w:szCs w:val="24"/>
        </w:rPr>
        <w:t>References</w:t>
      </w:r>
    </w:p>
    <w:p w:rsidR="000825B4" w:rsidRDefault="00360B8D" w:rsidP="00360B8D">
      <w:pPr>
        <w:numPr>
          <w:ilvl w:val="0"/>
          <w:numId w:val="2"/>
        </w:numPr>
        <w:rPr>
          <w:rFonts w:ascii="Arial" w:hAnsi="Arial" w:cs="Arial"/>
          <w:sz w:val="24"/>
          <w:szCs w:val="24"/>
        </w:rPr>
      </w:pPr>
      <w:proofErr w:type="spellStart"/>
      <w:r w:rsidRPr="00360B8D">
        <w:rPr>
          <w:rFonts w:ascii="Arial" w:hAnsi="Arial" w:cs="Arial"/>
          <w:sz w:val="24"/>
          <w:szCs w:val="24"/>
        </w:rPr>
        <w:t>Ho</w:t>
      </w:r>
      <w:proofErr w:type="spellEnd"/>
      <w:r w:rsidRPr="00360B8D">
        <w:rPr>
          <w:rFonts w:ascii="Arial" w:hAnsi="Arial" w:cs="Arial"/>
          <w:sz w:val="24"/>
          <w:szCs w:val="24"/>
        </w:rPr>
        <w:t xml:space="preserve"> S, </w:t>
      </w:r>
      <w:proofErr w:type="spellStart"/>
      <w:r w:rsidRPr="00360B8D">
        <w:rPr>
          <w:rFonts w:ascii="Arial" w:hAnsi="Arial" w:cs="Arial"/>
          <w:sz w:val="24"/>
          <w:szCs w:val="24"/>
        </w:rPr>
        <w:t>Teng</w:t>
      </w:r>
      <w:proofErr w:type="spellEnd"/>
      <w:r w:rsidRPr="00360B8D">
        <w:rPr>
          <w:rFonts w:ascii="Arial" w:hAnsi="Arial" w:cs="Arial"/>
          <w:sz w:val="24"/>
          <w:szCs w:val="24"/>
        </w:rPr>
        <w:t xml:space="preserve"> Y, Yang S, et al Risk of pneumonia in patients with isolated minor rib fractures: a nationwide cohort study BMJ Open 2017;7:e013029</w:t>
      </w:r>
    </w:p>
    <w:p w:rsidR="000825B4" w:rsidRPr="00360B8D" w:rsidRDefault="00360B8D" w:rsidP="00360B8D">
      <w:pPr>
        <w:numPr>
          <w:ilvl w:val="0"/>
          <w:numId w:val="2"/>
        </w:numPr>
        <w:rPr>
          <w:rFonts w:ascii="Arial" w:hAnsi="Arial" w:cs="Arial"/>
          <w:sz w:val="24"/>
          <w:szCs w:val="24"/>
        </w:rPr>
      </w:pPr>
      <w:r w:rsidRPr="00360B8D">
        <w:rPr>
          <w:rFonts w:ascii="Arial" w:hAnsi="Arial" w:cs="Arial"/>
          <w:sz w:val="24"/>
          <w:szCs w:val="24"/>
          <w:lang w:val="en-US"/>
        </w:rPr>
        <w:t xml:space="preserve">Easter A. Management of patients with multiple rib fractures. Am J </w:t>
      </w:r>
      <w:proofErr w:type="spellStart"/>
      <w:r w:rsidRPr="00360B8D">
        <w:rPr>
          <w:rFonts w:ascii="Arial" w:hAnsi="Arial" w:cs="Arial"/>
          <w:sz w:val="24"/>
          <w:szCs w:val="24"/>
          <w:lang w:val="en-US"/>
        </w:rPr>
        <w:t>Crit</w:t>
      </w:r>
      <w:proofErr w:type="spellEnd"/>
      <w:r w:rsidRPr="00360B8D">
        <w:rPr>
          <w:rFonts w:ascii="Arial" w:hAnsi="Arial" w:cs="Arial"/>
          <w:sz w:val="24"/>
          <w:szCs w:val="24"/>
          <w:lang w:val="en-US"/>
        </w:rPr>
        <w:t xml:space="preserve"> Care 2001; 10: 320–9</w:t>
      </w:r>
    </w:p>
    <w:p w:rsidR="00360B8D" w:rsidRPr="00360B8D" w:rsidRDefault="00360B8D" w:rsidP="00360B8D">
      <w:pPr>
        <w:ind w:left="720"/>
        <w:rPr>
          <w:rFonts w:ascii="Arial" w:hAnsi="Arial" w:cs="Arial"/>
          <w:sz w:val="24"/>
          <w:szCs w:val="24"/>
        </w:rPr>
      </w:pPr>
    </w:p>
    <w:p w:rsidR="00360B8D" w:rsidRPr="00AE6991" w:rsidRDefault="00360B8D" w:rsidP="00AE6991">
      <w:pPr>
        <w:rPr>
          <w:rFonts w:ascii="Arial" w:hAnsi="Arial" w:cs="Arial"/>
          <w:sz w:val="24"/>
          <w:szCs w:val="24"/>
        </w:rPr>
      </w:pPr>
    </w:p>
    <w:p w:rsidR="00AE6991" w:rsidRPr="00AE6991" w:rsidRDefault="00AE6991" w:rsidP="00AE6991">
      <w:pPr>
        <w:rPr>
          <w:rFonts w:ascii="Arial" w:hAnsi="Arial" w:cs="Arial"/>
          <w:sz w:val="24"/>
          <w:szCs w:val="24"/>
        </w:rPr>
      </w:pPr>
    </w:p>
    <w:p w:rsidR="00AE6991" w:rsidRDefault="00AE6991" w:rsidP="006F1710">
      <w:pPr>
        <w:rPr>
          <w:rFonts w:ascii="Arial" w:hAnsi="Arial" w:cs="Arial"/>
          <w:sz w:val="24"/>
          <w:szCs w:val="24"/>
        </w:rPr>
      </w:pPr>
    </w:p>
    <w:p w:rsidR="00AE6991" w:rsidRPr="006F1710" w:rsidRDefault="00AE6991" w:rsidP="006F1710">
      <w:pPr>
        <w:rPr>
          <w:rFonts w:ascii="Arial" w:hAnsi="Arial" w:cs="Arial"/>
          <w:sz w:val="24"/>
          <w:szCs w:val="24"/>
        </w:rPr>
      </w:pPr>
    </w:p>
    <w:sectPr w:rsidR="00AE6991" w:rsidRPr="006F1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E71"/>
    <w:multiLevelType w:val="hybridMultilevel"/>
    <w:tmpl w:val="CF70ADB8"/>
    <w:lvl w:ilvl="0" w:tplc="F69A377C">
      <w:start w:val="1"/>
      <w:numFmt w:val="decimal"/>
      <w:lvlText w:val="%1."/>
      <w:lvlJc w:val="left"/>
      <w:pPr>
        <w:tabs>
          <w:tab w:val="num" w:pos="720"/>
        </w:tabs>
        <w:ind w:left="720" w:hanging="360"/>
      </w:pPr>
    </w:lvl>
    <w:lvl w:ilvl="1" w:tplc="D96469B2" w:tentative="1">
      <w:start w:val="1"/>
      <w:numFmt w:val="decimal"/>
      <w:lvlText w:val="%2."/>
      <w:lvlJc w:val="left"/>
      <w:pPr>
        <w:tabs>
          <w:tab w:val="num" w:pos="1440"/>
        </w:tabs>
        <w:ind w:left="1440" w:hanging="360"/>
      </w:pPr>
    </w:lvl>
    <w:lvl w:ilvl="2" w:tplc="434896EC" w:tentative="1">
      <w:start w:val="1"/>
      <w:numFmt w:val="decimal"/>
      <w:lvlText w:val="%3."/>
      <w:lvlJc w:val="left"/>
      <w:pPr>
        <w:tabs>
          <w:tab w:val="num" w:pos="2160"/>
        </w:tabs>
        <w:ind w:left="2160" w:hanging="360"/>
      </w:pPr>
    </w:lvl>
    <w:lvl w:ilvl="3" w:tplc="4F14331C" w:tentative="1">
      <w:start w:val="1"/>
      <w:numFmt w:val="decimal"/>
      <w:lvlText w:val="%4."/>
      <w:lvlJc w:val="left"/>
      <w:pPr>
        <w:tabs>
          <w:tab w:val="num" w:pos="2880"/>
        </w:tabs>
        <w:ind w:left="2880" w:hanging="360"/>
      </w:pPr>
    </w:lvl>
    <w:lvl w:ilvl="4" w:tplc="30CC91B4" w:tentative="1">
      <w:start w:val="1"/>
      <w:numFmt w:val="decimal"/>
      <w:lvlText w:val="%5."/>
      <w:lvlJc w:val="left"/>
      <w:pPr>
        <w:tabs>
          <w:tab w:val="num" w:pos="3600"/>
        </w:tabs>
        <w:ind w:left="3600" w:hanging="360"/>
      </w:pPr>
    </w:lvl>
    <w:lvl w:ilvl="5" w:tplc="49F4AB90" w:tentative="1">
      <w:start w:val="1"/>
      <w:numFmt w:val="decimal"/>
      <w:lvlText w:val="%6."/>
      <w:lvlJc w:val="left"/>
      <w:pPr>
        <w:tabs>
          <w:tab w:val="num" w:pos="4320"/>
        </w:tabs>
        <w:ind w:left="4320" w:hanging="360"/>
      </w:pPr>
    </w:lvl>
    <w:lvl w:ilvl="6" w:tplc="38F69AB6" w:tentative="1">
      <w:start w:val="1"/>
      <w:numFmt w:val="decimal"/>
      <w:lvlText w:val="%7."/>
      <w:lvlJc w:val="left"/>
      <w:pPr>
        <w:tabs>
          <w:tab w:val="num" w:pos="5040"/>
        </w:tabs>
        <w:ind w:left="5040" w:hanging="360"/>
      </w:pPr>
    </w:lvl>
    <w:lvl w:ilvl="7" w:tplc="A5204BA4" w:tentative="1">
      <w:start w:val="1"/>
      <w:numFmt w:val="decimal"/>
      <w:lvlText w:val="%8."/>
      <w:lvlJc w:val="left"/>
      <w:pPr>
        <w:tabs>
          <w:tab w:val="num" w:pos="5760"/>
        </w:tabs>
        <w:ind w:left="5760" w:hanging="360"/>
      </w:pPr>
    </w:lvl>
    <w:lvl w:ilvl="8" w:tplc="210C09F8" w:tentative="1">
      <w:start w:val="1"/>
      <w:numFmt w:val="decimal"/>
      <w:lvlText w:val="%9."/>
      <w:lvlJc w:val="left"/>
      <w:pPr>
        <w:tabs>
          <w:tab w:val="num" w:pos="6480"/>
        </w:tabs>
        <w:ind w:left="6480" w:hanging="360"/>
      </w:pPr>
    </w:lvl>
  </w:abstractNum>
  <w:abstractNum w:abstractNumId="1">
    <w:nsid w:val="22606CEF"/>
    <w:multiLevelType w:val="hybridMultilevel"/>
    <w:tmpl w:val="AA04FF34"/>
    <w:lvl w:ilvl="0" w:tplc="338C07B0">
      <w:start w:val="1"/>
      <w:numFmt w:val="bullet"/>
      <w:lvlText w:val="•"/>
      <w:lvlJc w:val="left"/>
      <w:pPr>
        <w:tabs>
          <w:tab w:val="num" w:pos="720"/>
        </w:tabs>
        <w:ind w:left="720" w:hanging="360"/>
      </w:pPr>
      <w:rPr>
        <w:rFonts w:ascii="Arial" w:hAnsi="Arial" w:hint="default"/>
      </w:rPr>
    </w:lvl>
    <w:lvl w:ilvl="1" w:tplc="368C231A" w:tentative="1">
      <w:start w:val="1"/>
      <w:numFmt w:val="bullet"/>
      <w:lvlText w:val="•"/>
      <w:lvlJc w:val="left"/>
      <w:pPr>
        <w:tabs>
          <w:tab w:val="num" w:pos="1440"/>
        </w:tabs>
        <w:ind w:left="1440" w:hanging="360"/>
      </w:pPr>
      <w:rPr>
        <w:rFonts w:ascii="Arial" w:hAnsi="Arial" w:hint="default"/>
      </w:rPr>
    </w:lvl>
    <w:lvl w:ilvl="2" w:tplc="F386FD48" w:tentative="1">
      <w:start w:val="1"/>
      <w:numFmt w:val="bullet"/>
      <w:lvlText w:val="•"/>
      <w:lvlJc w:val="left"/>
      <w:pPr>
        <w:tabs>
          <w:tab w:val="num" w:pos="2160"/>
        </w:tabs>
        <w:ind w:left="2160" w:hanging="360"/>
      </w:pPr>
      <w:rPr>
        <w:rFonts w:ascii="Arial" w:hAnsi="Arial" w:hint="default"/>
      </w:rPr>
    </w:lvl>
    <w:lvl w:ilvl="3" w:tplc="7A80FBA8" w:tentative="1">
      <w:start w:val="1"/>
      <w:numFmt w:val="bullet"/>
      <w:lvlText w:val="•"/>
      <w:lvlJc w:val="left"/>
      <w:pPr>
        <w:tabs>
          <w:tab w:val="num" w:pos="2880"/>
        </w:tabs>
        <w:ind w:left="2880" w:hanging="360"/>
      </w:pPr>
      <w:rPr>
        <w:rFonts w:ascii="Arial" w:hAnsi="Arial" w:hint="default"/>
      </w:rPr>
    </w:lvl>
    <w:lvl w:ilvl="4" w:tplc="1E947A42" w:tentative="1">
      <w:start w:val="1"/>
      <w:numFmt w:val="bullet"/>
      <w:lvlText w:val="•"/>
      <w:lvlJc w:val="left"/>
      <w:pPr>
        <w:tabs>
          <w:tab w:val="num" w:pos="3600"/>
        </w:tabs>
        <w:ind w:left="3600" w:hanging="360"/>
      </w:pPr>
      <w:rPr>
        <w:rFonts w:ascii="Arial" w:hAnsi="Arial" w:hint="default"/>
      </w:rPr>
    </w:lvl>
    <w:lvl w:ilvl="5" w:tplc="C6B4A472" w:tentative="1">
      <w:start w:val="1"/>
      <w:numFmt w:val="bullet"/>
      <w:lvlText w:val="•"/>
      <w:lvlJc w:val="left"/>
      <w:pPr>
        <w:tabs>
          <w:tab w:val="num" w:pos="4320"/>
        </w:tabs>
        <w:ind w:left="4320" w:hanging="360"/>
      </w:pPr>
      <w:rPr>
        <w:rFonts w:ascii="Arial" w:hAnsi="Arial" w:hint="default"/>
      </w:rPr>
    </w:lvl>
    <w:lvl w:ilvl="6" w:tplc="11DEC570" w:tentative="1">
      <w:start w:val="1"/>
      <w:numFmt w:val="bullet"/>
      <w:lvlText w:val="•"/>
      <w:lvlJc w:val="left"/>
      <w:pPr>
        <w:tabs>
          <w:tab w:val="num" w:pos="5040"/>
        </w:tabs>
        <w:ind w:left="5040" w:hanging="360"/>
      </w:pPr>
      <w:rPr>
        <w:rFonts w:ascii="Arial" w:hAnsi="Arial" w:hint="default"/>
      </w:rPr>
    </w:lvl>
    <w:lvl w:ilvl="7" w:tplc="F1FE2968" w:tentative="1">
      <w:start w:val="1"/>
      <w:numFmt w:val="bullet"/>
      <w:lvlText w:val="•"/>
      <w:lvlJc w:val="left"/>
      <w:pPr>
        <w:tabs>
          <w:tab w:val="num" w:pos="5760"/>
        </w:tabs>
        <w:ind w:left="5760" w:hanging="360"/>
      </w:pPr>
      <w:rPr>
        <w:rFonts w:ascii="Arial" w:hAnsi="Arial" w:hint="default"/>
      </w:rPr>
    </w:lvl>
    <w:lvl w:ilvl="8" w:tplc="00C60124" w:tentative="1">
      <w:start w:val="1"/>
      <w:numFmt w:val="bullet"/>
      <w:lvlText w:val="•"/>
      <w:lvlJc w:val="left"/>
      <w:pPr>
        <w:tabs>
          <w:tab w:val="num" w:pos="6480"/>
        </w:tabs>
        <w:ind w:left="6480" w:hanging="360"/>
      </w:pPr>
      <w:rPr>
        <w:rFonts w:ascii="Arial" w:hAnsi="Arial" w:hint="default"/>
      </w:rPr>
    </w:lvl>
  </w:abstractNum>
  <w:abstractNum w:abstractNumId="2">
    <w:nsid w:val="242A0FB7"/>
    <w:multiLevelType w:val="hybridMultilevel"/>
    <w:tmpl w:val="32901CB0"/>
    <w:lvl w:ilvl="0" w:tplc="1256E0C2">
      <w:start w:val="1"/>
      <w:numFmt w:val="decimal"/>
      <w:lvlText w:val="%1."/>
      <w:lvlJc w:val="left"/>
      <w:pPr>
        <w:tabs>
          <w:tab w:val="num" w:pos="720"/>
        </w:tabs>
        <w:ind w:left="720" w:hanging="360"/>
      </w:pPr>
    </w:lvl>
    <w:lvl w:ilvl="1" w:tplc="21820232" w:tentative="1">
      <w:start w:val="1"/>
      <w:numFmt w:val="decimal"/>
      <w:lvlText w:val="%2."/>
      <w:lvlJc w:val="left"/>
      <w:pPr>
        <w:tabs>
          <w:tab w:val="num" w:pos="1440"/>
        </w:tabs>
        <w:ind w:left="1440" w:hanging="360"/>
      </w:pPr>
    </w:lvl>
    <w:lvl w:ilvl="2" w:tplc="B4D03622" w:tentative="1">
      <w:start w:val="1"/>
      <w:numFmt w:val="decimal"/>
      <w:lvlText w:val="%3."/>
      <w:lvlJc w:val="left"/>
      <w:pPr>
        <w:tabs>
          <w:tab w:val="num" w:pos="2160"/>
        </w:tabs>
        <w:ind w:left="2160" w:hanging="360"/>
      </w:pPr>
    </w:lvl>
    <w:lvl w:ilvl="3" w:tplc="36E07CDE" w:tentative="1">
      <w:start w:val="1"/>
      <w:numFmt w:val="decimal"/>
      <w:lvlText w:val="%4."/>
      <w:lvlJc w:val="left"/>
      <w:pPr>
        <w:tabs>
          <w:tab w:val="num" w:pos="2880"/>
        </w:tabs>
        <w:ind w:left="2880" w:hanging="360"/>
      </w:pPr>
    </w:lvl>
    <w:lvl w:ilvl="4" w:tplc="AD82D5F6" w:tentative="1">
      <w:start w:val="1"/>
      <w:numFmt w:val="decimal"/>
      <w:lvlText w:val="%5."/>
      <w:lvlJc w:val="left"/>
      <w:pPr>
        <w:tabs>
          <w:tab w:val="num" w:pos="3600"/>
        </w:tabs>
        <w:ind w:left="3600" w:hanging="360"/>
      </w:pPr>
    </w:lvl>
    <w:lvl w:ilvl="5" w:tplc="D440557E" w:tentative="1">
      <w:start w:val="1"/>
      <w:numFmt w:val="decimal"/>
      <w:lvlText w:val="%6."/>
      <w:lvlJc w:val="left"/>
      <w:pPr>
        <w:tabs>
          <w:tab w:val="num" w:pos="4320"/>
        </w:tabs>
        <w:ind w:left="4320" w:hanging="360"/>
      </w:pPr>
    </w:lvl>
    <w:lvl w:ilvl="6" w:tplc="2DA8CAC2" w:tentative="1">
      <w:start w:val="1"/>
      <w:numFmt w:val="decimal"/>
      <w:lvlText w:val="%7."/>
      <w:lvlJc w:val="left"/>
      <w:pPr>
        <w:tabs>
          <w:tab w:val="num" w:pos="5040"/>
        </w:tabs>
        <w:ind w:left="5040" w:hanging="360"/>
      </w:pPr>
    </w:lvl>
    <w:lvl w:ilvl="7" w:tplc="10F4A9A8" w:tentative="1">
      <w:start w:val="1"/>
      <w:numFmt w:val="decimal"/>
      <w:lvlText w:val="%8."/>
      <w:lvlJc w:val="left"/>
      <w:pPr>
        <w:tabs>
          <w:tab w:val="num" w:pos="5760"/>
        </w:tabs>
        <w:ind w:left="5760" w:hanging="360"/>
      </w:pPr>
    </w:lvl>
    <w:lvl w:ilvl="8" w:tplc="313636AC"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10"/>
    <w:rsid w:val="000825B4"/>
    <w:rsid w:val="00360B8D"/>
    <w:rsid w:val="004F1115"/>
    <w:rsid w:val="0056268B"/>
    <w:rsid w:val="006A26E0"/>
    <w:rsid w:val="006F1710"/>
    <w:rsid w:val="00733265"/>
    <w:rsid w:val="007F7887"/>
    <w:rsid w:val="008E0264"/>
    <w:rsid w:val="00A11A51"/>
    <w:rsid w:val="00AE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91"/>
    <w:rPr>
      <w:rFonts w:ascii="Tahoma" w:hAnsi="Tahoma" w:cs="Tahoma"/>
      <w:sz w:val="16"/>
      <w:szCs w:val="16"/>
    </w:rPr>
  </w:style>
  <w:style w:type="character" w:styleId="Hyperlink">
    <w:name w:val="Hyperlink"/>
    <w:basedOn w:val="DefaultParagraphFont"/>
    <w:uiPriority w:val="99"/>
    <w:unhideWhenUsed/>
    <w:rsid w:val="00733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91"/>
    <w:rPr>
      <w:rFonts w:ascii="Tahoma" w:hAnsi="Tahoma" w:cs="Tahoma"/>
      <w:sz w:val="16"/>
      <w:szCs w:val="16"/>
    </w:rPr>
  </w:style>
  <w:style w:type="character" w:styleId="Hyperlink">
    <w:name w:val="Hyperlink"/>
    <w:basedOn w:val="DefaultParagraphFont"/>
    <w:uiPriority w:val="99"/>
    <w:unhideWhenUsed/>
    <w:rsid w:val="00733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1417">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697631013">
      <w:bodyDiv w:val="1"/>
      <w:marLeft w:val="0"/>
      <w:marRight w:val="0"/>
      <w:marTop w:val="0"/>
      <w:marBottom w:val="0"/>
      <w:divBdr>
        <w:top w:val="none" w:sz="0" w:space="0" w:color="auto"/>
        <w:left w:val="none" w:sz="0" w:space="0" w:color="auto"/>
        <w:bottom w:val="none" w:sz="0" w:space="0" w:color="auto"/>
        <w:right w:val="none" w:sz="0" w:space="0" w:color="auto"/>
      </w:divBdr>
      <w:divsChild>
        <w:div w:id="848373150">
          <w:marLeft w:val="806"/>
          <w:marRight w:val="0"/>
          <w:marTop w:val="0"/>
          <w:marBottom w:val="120"/>
          <w:divBdr>
            <w:top w:val="none" w:sz="0" w:space="0" w:color="auto"/>
            <w:left w:val="none" w:sz="0" w:space="0" w:color="auto"/>
            <w:bottom w:val="none" w:sz="0" w:space="0" w:color="auto"/>
            <w:right w:val="none" w:sz="0" w:space="0" w:color="auto"/>
          </w:divBdr>
        </w:div>
      </w:divsChild>
    </w:div>
    <w:div w:id="739330619">
      <w:bodyDiv w:val="1"/>
      <w:marLeft w:val="0"/>
      <w:marRight w:val="0"/>
      <w:marTop w:val="0"/>
      <w:marBottom w:val="0"/>
      <w:divBdr>
        <w:top w:val="none" w:sz="0" w:space="0" w:color="auto"/>
        <w:left w:val="none" w:sz="0" w:space="0" w:color="auto"/>
        <w:bottom w:val="none" w:sz="0" w:space="0" w:color="auto"/>
        <w:right w:val="none" w:sz="0" w:space="0" w:color="auto"/>
      </w:divBdr>
    </w:div>
    <w:div w:id="779229501">
      <w:bodyDiv w:val="1"/>
      <w:marLeft w:val="0"/>
      <w:marRight w:val="0"/>
      <w:marTop w:val="0"/>
      <w:marBottom w:val="0"/>
      <w:divBdr>
        <w:top w:val="none" w:sz="0" w:space="0" w:color="auto"/>
        <w:left w:val="none" w:sz="0" w:space="0" w:color="auto"/>
        <w:bottom w:val="none" w:sz="0" w:space="0" w:color="auto"/>
        <w:right w:val="none" w:sz="0" w:space="0" w:color="auto"/>
      </w:divBdr>
    </w:div>
    <w:div w:id="780805094">
      <w:bodyDiv w:val="1"/>
      <w:marLeft w:val="0"/>
      <w:marRight w:val="0"/>
      <w:marTop w:val="0"/>
      <w:marBottom w:val="0"/>
      <w:divBdr>
        <w:top w:val="none" w:sz="0" w:space="0" w:color="auto"/>
        <w:left w:val="none" w:sz="0" w:space="0" w:color="auto"/>
        <w:bottom w:val="none" w:sz="0" w:space="0" w:color="auto"/>
        <w:right w:val="none" w:sz="0" w:space="0" w:color="auto"/>
      </w:divBdr>
    </w:div>
    <w:div w:id="930622746">
      <w:bodyDiv w:val="1"/>
      <w:marLeft w:val="0"/>
      <w:marRight w:val="0"/>
      <w:marTop w:val="0"/>
      <w:marBottom w:val="0"/>
      <w:divBdr>
        <w:top w:val="none" w:sz="0" w:space="0" w:color="auto"/>
        <w:left w:val="none" w:sz="0" w:space="0" w:color="auto"/>
        <w:bottom w:val="none" w:sz="0" w:space="0" w:color="auto"/>
        <w:right w:val="none" w:sz="0" w:space="0" w:color="auto"/>
      </w:divBdr>
      <w:divsChild>
        <w:div w:id="1619335237">
          <w:marLeft w:val="720"/>
          <w:marRight w:val="0"/>
          <w:marTop w:val="0"/>
          <w:marBottom w:val="0"/>
          <w:divBdr>
            <w:top w:val="none" w:sz="0" w:space="0" w:color="auto"/>
            <w:left w:val="none" w:sz="0" w:space="0" w:color="auto"/>
            <w:bottom w:val="none" w:sz="0" w:space="0" w:color="auto"/>
            <w:right w:val="none" w:sz="0" w:space="0" w:color="auto"/>
          </w:divBdr>
        </w:div>
        <w:div w:id="1502086065">
          <w:marLeft w:val="720"/>
          <w:marRight w:val="0"/>
          <w:marTop w:val="523"/>
          <w:marBottom w:val="523"/>
          <w:divBdr>
            <w:top w:val="none" w:sz="0" w:space="0" w:color="auto"/>
            <w:left w:val="none" w:sz="0" w:space="0" w:color="auto"/>
            <w:bottom w:val="none" w:sz="0" w:space="0" w:color="auto"/>
            <w:right w:val="none" w:sz="0" w:space="0" w:color="auto"/>
          </w:divBdr>
        </w:div>
        <w:div w:id="493886050">
          <w:marLeft w:val="720"/>
          <w:marRight w:val="0"/>
          <w:marTop w:val="0"/>
          <w:marBottom w:val="0"/>
          <w:divBdr>
            <w:top w:val="none" w:sz="0" w:space="0" w:color="auto"/>
            <w:left w:val="none" w:sz="0" w:space="0" w:color="auto"/>
            <w:bottom w:val="none" w:sz="0" w:space="0" w:color="auto"/>
            <w:right w:val="none" w:sz="0" w:space="0" w:color="auto"/>
          </w:divBdr>
        </w:div>
      </w:divsChild>
    </w:div>
    <w:div w:id="1086925289">
      <w:bodyDiv w:val="1"/>
      <w:marLeft w:val="0"/>
      <w:marRight w:val="0"/>
      <w:marTop w:val="0"/>
      <w:marBottom w:val="0"/>
      <w:divBdr>
        <w:top w:val="none" w:sz="0" w:space="0" w:color="auto"/>
        <w:left w:val="none" w:sz="0" w:space="0" w:color="auto"/>
        <w:bottom w:val="none" w:sz="0" w:space="0" w:color="auto"/>
        <w:right w:val="none" w:sz="0" w:space="0" w:color="auto"/>
      </w:divBdr>
    </w:div>
    <w:div w:id="1930121066">
      <w:bodyDiv w:val="1"/>
      <w:marLeft w:val="0"/>
      <w:marRight w:val="0"/>
      <w:marTop w:val="0"/>
      <w:marBottom w:val="0"/>
      <w:divBdr>
        <w:top w:val="none" w:sz="0" w:space="0" w:color="auto"/>
        <w:left w:val="none" w:sz="0" w:space="0" w:color="auto"/>
        <w:bottom w:val="none" w:sz="0" w:space="0" w:color="auto"/>
        <w:right w:val="none" w:sz="0" w:space="0" w:color="auto"/>
      </w:divBdr>
    </w:div>
    <w:div w:id="1970234798">
      <w:bodyDiv w:val="1"/>
      <w:marLeft w:val="0"/>
      <w:marRight w:val="0"/>
      <w:marTop w:val="0"/>
      <w:marBottom w:val="0"/>
      <w:divBdr>
        <w:top w:val="none" w:sz="0" w:space="0" w:color="auto"/>
        <w:left w:val="none" w:sz="0" w:space="0" w:color="auto"/>
        <w:bottom w:val="none" w:sz="0" w:space="0" w:color="auto"/>
        <w:right w:val="none" w:sz="0" w:space="0" w:color="auto"/>
      </w:divBdr>
      <w:divsChild>
        <w:div w:id="1928342781">
          <w:marLeft w:val="806"/>
          <w:marRight w:val="0"/>
          <w:marTop w:val="0"/>
          <w:marBottom w:val="120"/>
          <w:divBdr>
            <w:top w:val="none" w:sz="0" w:space="0" w:color="auto"/>
            <w:left w:val="none" w:sz="0" w:space="0" w:color="auto"/>
            <w:bottom w:val="none" w:sz="0" w:space="0" w:color="auto"/>
            <w:right w:val="none" w:sz="0" w:space="0" w:color="auto"/>
          </w:divBdr>
        </w:div>
        <w:div w:id="131079064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ndra.chincholkar@srft.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Chincholkar Mahindra</dc:creator>
  <cp:lastModifiedBy>Chincholkar Mahindra</cp:lastModifiedBy>
  <cp:revision>2</cp:revision>
  <dcterms:created xsi:type="dcterms:W3CDTF">2017-07-16T10:34:00Z</dcterms:created>
  <dcterms:modified xsi:type="dcterms:W3CDTF">2017-07-16T10:34:00Z</dcterms:modified>
</cp:coreProperties>
</file>